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02F56" w14:textId="77777777" w:rsidR="00240B19" w:rsidRDefault="00240B19" w:rsidP="00910057">
      <w:pPr>
        <w:pStyle w:val="Heading2"/>
      </w:pPr>
      <w:r>
        <w:t>Introduction</w:t>
      </w:r>
    </w:p>
    <w:p w14:paraId="2520DBFF" w14:textId="77777777" w:rsidR="0082329F" w:rsidRPr="0082329F" w:rsidRDefault="0082329F" w:rsidP="00AE6F1C">
      <w:pPr>
        <w:pStyle w:val="Normal1"/>
      </w:pPr>
    </w:p>
    <w:p w14:paraId="5D04D3E7" w14:textId="77777777" w:rsidR="00240B19" w:rsidRPr="005708D3" w:rsidRDefault="00240B19" w:rsidP="0007669A">
      <w:pPr>
        <w:pStyle w:val="Normal1"/>
        <w:spacing w:before="60" w:after="60"/>
      </w:pPr>
      <w:r w:rsidRPr="00592FD8">
        <w:t>The purpose</w:t>
      </w:r>
      <w:r w:rsidRPr="005708D3">
        <w:t xml:space="preserve"> of the environmental review process is to analyze the effect the proposed project will have on the people and the natural environmental components within the project area.</w:t>
      </w:r>
    </w:p>
    <w:p w14:paraId="1D4220B5" w14:textId="4057055B" w:rsidR="00240B19" w:rsidRPr="005708D3" w:rsidRDefault="00240B19" w:rsidP="0007669A">
      <w:pPr>
        <w:pStyle w:val="Normal1"/>
        <w:spacing w:before="60" w:after="60"/>
      </w:pPr>
      <w:r>
        <w:t>Units of local government who are recipients of CDBG funds must complete an environmental review of all project activities prior to obligating CDBG funds.  This requirement also applies to projects funded with CDBG</w:t>
      </w:r>
      <w:r w:rsidR="27DFB7BE">
        <w:t>-</w:t>
      </w:r>
      <w:r w:rsidR="35C5040B">
        <w:t>G</w:t>
      </w:r>
      <w:r>
        <w:t>enerated Program Income.</w:t>
      </w:r>
    </w:p>
    <w:p w14:paraId="53513B72" w14:textId="77777777" w:rsidR="00E327B5" w:rsidRDefault="00240B19" w:rsidP="0007669A">
      <w:pPr>
        <w:pStyle w:val="Normal1"/>
        <w:spacing w:before="60" w:after="60"/>
      </w:pPr>
      <w:r w:rsidRPr="005708D3">
        <w:t>This chapter will cover the</w:t>
      </w:r>
      <w:r w:rsidR="00E327B5">
        <w:t xml:space="preserve"> following:</w:t>
      </w:r>
    </w:p>
    <w:p w14:paraId="78EF5B63" w14:textId="0741F1A0" w:rsidR="00194A77" w:rsidRPr="00AE6F1C" w:rsidRDefault="00000000" w:rsidP="000D07E1">
      <w:pPr>
        <w:pStyle w:val="Normal1"/>
        <w:numPr>
          <w:ilvl w:val="0"/>
          <w:numId w:val="18"/>
        </w:numPr>
        <w:spacing w:before="60" w:after="60"/>
      </w:pPr>
      <w:hyperlink w:anchor="_Section_1_-Definitions" w:history="1">
        <w:r w:rsidR="00A75BB5" w:rsidRPr="00AE6F1C">
          <w:rPr>
            <w:rStyle w:val="Hyperlink"/>
            <w:color w:val="auto"/>
          </w:rPr>
          <w:t>Definitions</w:t>
        </w:r>
      </w:hyperlink>
    </w:p>
    <w:p w14:paraId="6DFBD110" w14:textId="07DF2D91" w:rsidR="00A75BB5" w:rsidRPr="00AE6F1C" w:rsidRDefault="00000000" w:rsidP="000D07E1">
      <w:pPr>
        <w:pStyle w:val="Normal1"/>
        <w:numPr>
          <w:ilvl w:val="0"/>
          <w:numId w:val="18"/>
        </w:numPr>
        <w:spacing w:before="60" w:after="60"/>
      </w:pPr>
      <w:hyperlink w:anchor="_Section_21_-" w:history="1">
        <w:r w:rsidR="00A75BB5" w:rsidRPr="00AE6F1C">
          <w:rPr>
            <w:rStyle w:val="Hyperlink"/>
            <w:color w:val="auto"/>
          </w:rPr>
          <w:t>Background and Responsibilities</w:t>
        </w:r>
      </w:hyperlink>
    </w:p>
    <w:p w14:paraId="153B14A1" w14:textId="2D4D6774" w:rsidR="00A75BB5" w:rsidRPr="00AE6F1C" w:rsidRDefault="00000000" w:rsidP="000D07E1">
      <w:pPr>
        <w:pStyle w:val="Normal1"/>
        <w:numPr>
          <w:ilvl w:val="0"/>
          <w:numId w:val="18"/>
        </w:numPr>
        <w:spacing w:before="60" w:after="60"/>
      </w:pPr>
      <w:hyperlink w:anchor="_Section_3:_Actions" w:history="1">
        <w:r w:rsidR="00A75BB5" w:rsidRPr="00AE6F1C">
          <w:rPr>
            <w:rStyle w:val="Hyperlink"/>
            <w:color w:val="auto"/>
          </w:rPr>
          <w:t>Actions Triggering Environmental Review and Limitations Pending Clearance</w:t>
        </w:r>
      </w:hyperlink>
    </w:p>
    <w:p w14:paraId="7D34AE50" w14:textId="67119D50" w:rsidR="00A75BB5" w:rsidRPr="00AE6F1C" w:rsidRDefault="00000000" w:rsidP="000D07E1">
      <w:pPr>
        <w:pStyle w:val="Normal1"/>
        <w:numPr>
          <w:ilvl w:val="0"/>
          <w:numId w:val="18"/>
        </w:numPr>
        <w:spacing w:before="60" w:after="60"/>
      </w:pPr>
      <w:hyperlink w:anchor="_Section_4_–" w:history="1">
        <w:r w:rsidR="00A75BB5" w:rsidRPr="00AE6F1C">
          <w:rPr>
            <w:rStyle w:val="Hyperlink"/>
            <w:color w:val="auto"/>
          </w:rPr>
          <w:t>Classifying the Activity and Conducting the Appropriate Level of Review</w:t>
        </w:r>
      </w:hyperlink>
    </w:p>
    <w:p w14:paraId="1C6A4862" w14:textId="2E8F146A" w:rsidR="00A75BB5" w:rsidRPr="00AE6F1C" w:rsidRDefault="00000000" w:rsidP="000D07E1">
      <w:pPr>
        <w:pStyle w:val="Normal1"/>
        <w:numPr>
          <w:ilvl w:val="0"/>
          <w:numId w:val="18"/>
        </w:numPr>
        <w:spacing w:before="60" w:after="60"/>
      </w:pPr>
      <w:hyperlink w:anchor="_Section_5_–" w:history="1">
        <w:r w:rsidR="00A75BB5" w:rsidRPr="00AE6F1C">
          <w:rPr>
            <w:rStyle w:val="Hyperlink"/>
            <w:color w:val="auto"/>
          </w:rPr>
          <w:t>Publication and Posting of Public Notices</w:t>
        </w:r>
      </w:hyperlink>
    </w:p>
    <w:p w14:paraId="62EDD377" w14:textId="5CC838E2" w:rsidR="00A75BB5" w:rsidRPr="00AE6F1C" w:rsidRDefault="00000000" w:rsidP="000D07E1">
      <w:pPr>
        <w:pStyle w:val="Normal1"/>
        <w:numPr>
          <w:ilvl w:val="0"/>
          <w:numId w:val="18"/>
        </w:numPr>
        <w:spacing w:before="60" w:after="60"/>
      </w:pPr>
      <w:hyperlink w:anchor="_Section_6_–" w:history="1">
        <w:r w:rsidR="00BC7719" w:rsidRPr="00AE6F1C">
          <w:rPr>
            <w:rStyle w:val="Hyperlink"/>
            <w:color w:val="auto"/>
          </w:rPr>
          <w:t>Anti-Duplication Measures</w:t>
        </w:r>
      </w:hyperlink>
    </w:p>
    <w:p w14:paraId="0CB7CEAB" w14:textId="59881CF3" w:rsidR="00A75BB5" w:rsidRPr="00AE6F1C" w:rsidRDefault="00000000" w:rsidP="000D07E1">
      <w:pPr>
        <w:pStyle w:val="Normal1"/>
        <w:numPr>
          <w:ilvl w:val="0"/>
          <w:numId w:val="18"/>
        </w:numPr>
        <w:spacing w:before="60" w:after="60"/>
      </w:pPr>
      <w:hyperlink w:anchor="_Section_7_–" w:history="1">
        <w:r w:rsidR="00A75BB5" w:rsidRPr="00AE6F1C">
          <w:rPr>
            <w:rStyle w:val="Hyperlink"/>
            <w:color w:val="auto"/>
          </w:rPr>
          <w:t>Re-evaluation of Review Findings</w:t>
        </w:r>
      </w:hyperlink>
    </w:p>
    <w:p w14:paraId="7FC98D7A" w14:textId="04EA2BCA" w:rsidR="00BA0CD7" w:rsidRDefault="00BA0CD7" w:rsidP="0007669A">
      <w:pPr>
        <w:pStyle w:val="Normal1"/>
        <w:spacing w:before="60" w:after="60"/>
      </w:pPr>
    </w:p>
    <w:p w14:paraId="34738619" w14:textId="2EA7B5A0" w:rsidR="00BA0CD7" w:rsidRDefault="00BA0CD7" w:rsidP="00BA0CD7">
      <w:pPr>
        <w:pStyle w:val="Heading2"/>
      </w:pPr>
      <w:bookmarkStart w:id="0" w:name="_Section_1_-Definitions"/>
      <w:bookmarkEnd w:id="0"/>
      <w:r>
        <w:t>Section 1 -Definitions</w:t>
      </w:r>
      <w:bookmarkStart w:id="1" w:name="Sec1_Definitions"/>
      <w:bookmarkEnd w:id="1"/>
    </w:p>
    <w:p w14:paraId="4354CD8F" w14:textId="69D34B34" w:rsidR="007A24F2" w:rsidRPr="00AE6F1C" w:rsidRDefault="007A24F2" w:rsidP="007A24F2">
      <w:pPr>
        <w:pStyle w:val="Normal1"/>
        <w:spacing w:before="60" w:after="60"/>
      </w:pPr>
      <w:bookmarkStart w:id="2" w:name="CENST_Def"/>
      <w:r w:rsidRPr="008E42EF">
        <w:rPr>
          <w:b/>
          <w:bCs/>
        </w:rPr>
        <w:t>“Categorical Exclusions Not Subject to Sec. 58.5 (CENST)”</w:t>
      </w:r>
      <w:r w:rsidRPr="008E42EF">
        <w:t xml:space="preserve">– </w:t>
      </w:r>
      <w:bookmarkEnd w:id="2"/>
      <w:r w:rsidRPr="008E42EF">
        <w:t xml:space="preserve">a category of activities for which no environmental impact statement or environmental assessment and finding of no significant impact under NEPA is required. These activities are </w:t>
      </w:r>
      <w:r w:rsidRPr="00F239FF">
        <w:rPr>
          <w:b/>
          <w:bCs/>
        </w:rPr>
        <w:t>not</w:t>
      </w:r>
      <w:r w:rsidRPr="008E42EF">
        <w:t xml:space="preserve"> subject to review by the authorities listed in 24 CFR Part 58.5 but are still responsible for any </w:t>
      </w:r>
      <w:hyperlink r:id="rId11" w:history="1">
        <w:r w:rsidRPr="00AE6F1C">
          <w:rPr>
            <w:rStyle w:val="Hyperlink"/>
            <w:color w:val="auto"/>
          </w:rPr>
          <w:t>applicable requirements under 24 CFR Part 58.6</w:t>
        </w:r>
      </w:hyperlink>
      <w:r w:rsidRPr="00AE6F1C">
        <w:t>.</w:t>
      </w:r>
    </w:p>
    <w:p w14:paraId="18788088" w14:textId="77777777" w:rsidR="007A24F2" w:rsidRDefault="007A24F2" w:rsidP="007A24F2">
      <w:pPr>
        <w:pStyle w:val="Normal1"/>
        <w:spacing w:before="60" w:after="60"/>
      </w:pPr>
    </w:p>
    <w:p w14:paraId="275ECECD" w14:textId="1C472D08" w:rsidR="007A24F2" w:rsidRPr="00AE6F1C" w:rsidRDefault="007A24F2" w:rsidP="007A24F2">
      <w:pPr>
        <w:pStyle w:val="Normal1"/>
        <w:spacing w:before="60" w:after="60"/>
      </w:pPr>
      <w:bookmarkStart w:id="3" w:name="CEST_Def"/>
      <w:r w:rsidRPr="009F5E8F">
        <w:t>“</w:t>
      </w:r>
      <w:r w:rsidRPr="009F5E8F">
        <w:rPr>
          <w:b/>
          <w:bCs/>
        </w:rPr>
        <w:t>Categorical Exclusions Subject to Sec. 58.5 (CEST)</w:t>
      </w:r>
      <w:r w:rsidRPr="009F5E8F">
        <w:t xml:space="preserve">” </w:t>
      </w:r>
      <w:bookmarkEnd w:id="3"/>
      <w:r w:rsidRPr="008E42EF">
        <w:t xml:space="preserve">– a category of activities for which no environmental impact statement or environmental assessment and finding of no significant impact under NEPA is required. These activities are subject to review by the </w:t>
      </w:r>
      <w:hyperlink r:id="rId12" w:history="1">
        <w:r w:rsidRPr="00AE6F1C">
          <w:rPr>
            <w:rStyle w:val="Hyperlink"/>
            <w:color w:val="auto"/>
          </w:rPr>
          <w:t>authorities listed in 24 CFR Part 58.5</w:t>
        </w:r>
      </w:hyperlink>
      <w:r w:rsidRPr="00AE6F1C">
        <w:t>.</w:t>
      </w:r>
    </w:p>
    <w:p w14:paraId="28B90AAB" w14:textId="77777777" w:rsidR="007A24F2" w:rsidRDefault="007A24F2" w:rsidP="007A24F2">
      <w:pPr>
        <w:pStyle w:val="Bullet10"/>
        <w:numPr>
          <w:ilvl w:val="0"/>
          <w:numId w:val="0"/>
        </w:numPr>
        <w:rPr>
          <w:b/>
          <w:bCs/>
        </w:rPr>
      </w:pPr>
    </w:p>
    <w:p w14:paraId="7B305EDE" w14:textId="49267E6F" w:rsidR="007A24F2" w:rsidRPr="005708D3" w:rsidRDefault="007A24F2" w:rsidP="004604E6">
      <w:pPr>
        <w:pStyle w:val="Bullet10"/>
        <w:numPr>
          <w:ilvl w:val="0"/>
          <w:numId w:val="0"/>
        </w:numPr>
      </w:pPr>
      <w:bookmarkStart w:id="4" w:name="Choice_limiting_Def"/>
      <w:r w:rsidRPr="00FC49AB">
        <w:rPr>
          <w:b/>
          <w:bCs/>
        </w:rPr>
        <w:lastRenderedPageBreak/>
        <w:t>“Choice Limiting Actions”</w:t>
      </w:r>
      <w:r>
        <w:t xml:space="preserve"> </w:t>
      </w:r>
      <w:bookmarkEnd w:id="4"/>
      <w:r>
        <w:t xml:space="preserve">– </w:t>
      </w:r>
      <w:r w:rsidR="00457B67">
        <w:t>any activity that a grantee undertakes, including committing or expending HUD</w:t>
      </w:r>
      <w:r w:rsidR="00CF51C3">
        <w:t xml:space="preserve"> or non-HUD funds, that reduces or eliminates a grantee’s opportunity to choose project alternatives that would avoid or minimize environmental impacts or enhance the quality of the human environment.</w:t>
      </w:r>
    </w:p>
    <w:p w14:paraId="09B46708" w14:textId="77777777" w:rsidR="007A24F2" w:rsidRDefault="007A24F2" w:rsidP="007A24F2">
      <w:pPr>
        <w:pStyle w:val="Normal1"/>
        <w:spacing w:before="60" w:after="60"/>
      </w:pPr>
      <w:bookmarkStart w:id="5" w:name="Commit_of_funds_Def"/>
      <w:r w:rsidRPr="00FC49AB">
        <w:rPr>
          <w:b/>
          <w:bCs/>
        </w:rPr>
        <w:t>“Commitment of Funds”</w:t>
      </w:r>
      <w:r>
        <w:t xml:space="preserve"> </w:t>
      </w:r>
      <w:bookmarkEnd w:id="5"/>
      <w:r>
        <w:t>– for the purposes of the environmental review, this includes:</w:t>
      </w:r>
    </w:p>
    <w:p w14:paraId="68E16576" w14:textId="24620BE1" w:rsidR="007A24F2" w:rsidRPr="0049058C" w:rsidRDefault="007A24F2" w:rsidP="007A24F2">
      <w:pPr>
        <w:pStyle w:val="Bullet10"/>
      </w:pPr>
      <w:r w:rsidRPr="0049058C">
        <w:t>Execution of a legally binding agreement (such as a property purchase</w:t>
      </w:r>
      <w:r>
        <w:t>/donation</w:t>
      </w:r>
      <w:r w:rsidRPr="0049058C">
        <w:t xml:space="preserve"> or construction contract</w:t>
      </w:r>
      <w:proofErr w:type="gramStart"/>
      <w:r w:rsidRPr="0049058C">
        <w:t>)</w:t>
      </w:r>
      <w:r w:rsidR="00006EFA">
        <w:t>;</w:t>
      </w:r>
      <w:proofErr w:type="gramEnd"/>
    </w:p>
    <w:p w14:paraId="29FE4B9E" w14:textId="77777777" w:rsidR="007A24F2" w:rsidRPr="0049058C" w:rsidRDefault="007A24F2" w:rsidP="007A24F2">
      <w:pPr>
        <w:pStyle w:val="Bullet10"/>
      </w:pPr>
      <w:r w:rsidRPr="0049058C">
        <w:t xml:space="preserve">Expenditure of CDBG </w:t>
      </w:r>
      <w:proofErr w:type="gramStart"/>
      <w:r w:rsidRPr="0049058C">
        <w:t>funds;</w:t>
      </w:r>
      <w:proofErr w:type="gramEnd"/>
    </w:p>
    <w:p w14:paraId="1BA7A785" w14:textId="77777777" w:rsidR="007A24F2" w:rsidRPr="0049058C" w:rsidRDefault="007A24F2" w:rsidP="007A24F2">
      <w:pPr>
        <w:pStyle w:val="Bullet10"/>
      </w:pPr>
      <w:r w:rsidRPr="0049058C">
        <w:t>Use of non-CDBG funds on actions that would have an adverse impact--- e.g., demolition, dredging, filling, excavating; and</w:t>
      </w:r>
    </w:p>
    <w:p w14:paraId="09D258DC" w14:textId="1DF58381" w:rsidR="007A24F2" w:rsidRDefault="007A24F2" w:rsidP="007A24F2">
      <w:pPr>
        <w:pStyle w:val="Bullet10"/>
      </w:pPr>
      <w:r w:rsidRPr="0049058C">
        <w:t xml:space="preserve">Use of non-CDBG funds on actions that would be “choice </w:t>
      </w:r>
      <w:proofErr w:type="gramStart"/>
      <w:r w:rsidRPr="0049058C">
        <w:t>limiting”---</w:t>
      </w:r>
      <w:proofErr w:type="gramEnd"/>
      <w:r w:rsidR="00C1310D">
        <w:t xml:space="preserve"> </w:t>
      </w:r>
      <w:r w:rsidRPr="0049058C">
        <w:t xml:space="preserve">e.g., </w:t>
      </w:r>
      <w:r>
        <w:t>undertaking bids for construction or demolition</w:t>
      </w:r>
      <w:r w:rsidR="000A1467">
        <w:t>;</w:t>
      </w:r>
      <w:r>
        <w:t xml:space="preserve"> </w:t>
      </w:r>
      <w:r w:rsidRPr="0049058C">
        <w:t>acquisition of real property; leasing property; rehabilitation, demolition, construction of buildings or structures; relocating buildings or structures, conversion of land or buildings/structures.</w:t>
      </w:r>
    </w:p>
    <w:p w14:paraId="0BAD8B26" w14:textId="77777777" w:rsidR="007A24F2" w:rsidRDefault="007A24F2" w:rsidP="007A24F2">
      <w:pPr>
        <w:pStyle w:val="Normal1"/>
        <w:spacing w:before="60" w:after="60"/>
        <w:rPr>
          <w:b/>
          <w:bCs/>
        </w:rPr>
      </w:pPr>
    </w:p>
    <w:p w14:paraId="655F53DA" w14:textId="07776D6C" w:rsidR="007A24F2" w:rsidRDefault="007A24F2" w:rsidP="007A24F2">
      <w:pPr>
        <w:pStyle w:val="Normal1"/>
        <w:spacing w:before="60" w:after="60"/>
      </w:pPr>
      <w:bookmarkStart w:id="6" w:name="EA_Def"/>
      <w:r w:rsidRPr="00AB0A23">
        <w:rPr>
          <w:b/>
          <w:bCs/>
        </w:rPr>
        <w:t>“Environmental Assessment (EA)”</w:t>
      </w:r>
      <w:r>
        <w:t xml:space="preserve"> </w:t>
      </w:r>
      <w:bookmarkEnd w:id="6"/>
      <w:r>
        <w:t>- a concise public document prepared to aid a grantee’s compliance with federal and state laws and authorities as well as support its determination of whether an EIS or FONSI needs to be prepared.</w:t>
      </w:r>
    </w:p>
    <w:p w14:paraId="1520AD50" w14:textId="77777777" w:rsidR="007A24F2" w:rsidRDefault="007A24F2" w:rsidP="007A24F2">
      <w:pPr>
        <w:pStyle w:val="Normal1"/>
        <w:spacing w:before="60" w:after="60"/>
      </w:pPr>
    </w:p>
    <w:p w14:paraId="21A584BF" w14:textId="23126C3C" w:rsidR="007A24F2" w:rsidRDefault="007A24F2" w:rsidP="007A24F2">
      <w:pPr>
        <w:pStyle w:val="Normal1"/>
        <w:spacing w:before="60" w:after="60"/>
      </w:pPr>
      <w:bookmarkStart w:id="7" w:name="EIS_Def"/>
      <w:r w:rsidRPr="00AB0A23">
        <w:rPr>
          <w:b/>
          <w:bCs/>
        </w:rPr>
        <w:t xml:space="preserve">“Environmental Impact Statement (EIS)” </w:t>
      </w:r>
      <w:bookmarkEnd w:id="7"/>
      <w:r>
        <w:t>– a detailed written statement about a project’s impact on the human environment.</w:t>
      </w:r>
      <w:r w:rsidR="00D06400">
        <w:t xml:space="preserve"> </w:t>
      </w:r>
    </w:p>
    <w:p w14:paraId="33B37C6F" w14:textId="77777777" w:rsidR="007A24F2" w:rsidRDefault="007A24F2" w:rsidP="007A24F2">
      <w:pPr>
        <w:pStyle w:val="Normal1"/>
        <w:spacing w:before="60" w:after="60"/>
        <w:rPr>
          <w:b/>
          <w:bCs/>
        </w:rPr>
      </w:pPr>
    </w:p>
    <w:p w14:paraId="581FB83F" w14:textId="6DDDE469" w:rsidR="007A24F2" w:rsidRDefault="007A24F2" w:rsidP="007A24F2">
      <w:pPr>
        <w:pStyle w:val="Normal1"/>
        <w:spacing w:before="60" w:after="60"/>
      </w:pPr>
      <w:bookmarkStart w:id="8" w:name="Exempt_act_Def"/>
      <w:r w:rsidRPr="008E42EF">
        <w:rPr>
          <w:b/>
          <w:bCs/>
        </w:rPr>
        <w:t xml:space="preserve">“Exempt Activities”- </w:t>
      </w:r>
      <w:bookmarkEnd w:id="8"/>
      <w:r w:rsidRPr="008E42EF">
        <w:t xml:space="preserve">a category of activities for which the grantee does not have to undertake environmental review and any provisions of law or authorities cited in 24 CFR Part 58.5. The grantee still must adhere to applicable requirements </w:t>
      </w:r>
      <w:hyperlink r:id="rId13" w:history="1">
        <w:r w:rsidRPr="00AD0C9E">
          <w:rPr>
            <w:rStyle w:val="Hyperlink"/>
          </w:rPr>
          <w:t>of 24 CFR Part 58.6</w:t>
        </w:r>
      </w:hyperlink>
      <w:r w:rsidRPr="008E42EF">
        <w:t>.</w:t>
      </w:r>
    </w:p>
    <w:p w14:paraId="6DE2F76B" w14:textId="77777777" w:rsidR="007A24F2" w:rsidRDefault="007A24F2" w:rsidP="007A24F2">
      <w:pPr>
        <w:pStyle w:val="Normal1"/>
        <w:spacing w:before="60" w:after="60"/>
        <w:rPr>
          <w:b/>
          <w:bCs/>
        </w:rPr>
      </w:pPr>
    </w:p>
    <w:p w14:paraId="55C56760" w14:textId="557468BD" w:rsidR="007A24F2" w:rsidRDefault="007A24F2" w:rsidP="007A24F2">
      <w:pPr>
        <w:pStyle w:val="Normal1"/>
        <w:spacing w:before="60" w:after="60"/>
      </w:pPr>
      <w:bookmarkStart w:id="9" w:name="FONSI_Def"/>
      <w:r w:rsidRPr="00AB0A23">
        <w:rPr>
          <w:b/>
          <w:bCs/>
        </w:rPr>
        <w:t>“Finding of No Significant Impact (FONSI</w:t>
      </w:r>
      <w:bookmarkEnd w:id="9"/>
      <w:r w:rsidRPr="00AB0A23">
        <w:rPr>
          <w:b/>
          <w:bCs/>
        </w:rPr>
        <w:t xml:space="preserve">)” </w:t>
      </w:r>
      <w:r>
        <w:t>– a document prepared by a grantee that briefly presents the reasons why an activity or project (not including those that are categorically excluded) will not have a significant impact on the human environment.</w:t>
      </w:r>
    </w:p>
    <w:p w14:paraId="41F85BA8" w14:textId="77777777" w:rsidR="007A24F2" w:rsidRDefault="007A24F2" w:rsidP="007A24F2">
      <w:pPr>
        <w:pStyle w:val="Normal1"/>
        <w:spacing w:before="60" w:after="60"/>
        <w:rPr>
          <w:b/>
          <w:bCs/>
        </w:rPr>
      </w:pPr>
    </w:p>
    <w:p w14:paraId="77737A98" w14:textId="2C688D10" w:rsidR="007A24F2" w:rsidRDefault="007A24F2" w:rsidP="007A24F2">
      <w:pPr>
        <w:pStyle w:val="Normal1"/>
        <w:spacing w:before="60" w:after="60"/>
      </w:pPr>
      <w:bookmarkStart w:id="10" w:name="Human_Env_Def"/>
      <w:r w:rsidRPr="00AB0A23">
        <w:rPr>
          <w:b/>
          <w:bCs/>
        </w:rPr>
        <w:t>“Human Environment”</w:t>
      </w:r>
      <w:r>
        <w:t xml:space="preserve"> </w:t>
      </w:r>
      <w:bookmarkEnd w:id="10"/>
      <w:r>
        <w:t>– the natural and physical environment and the relationship of present and future generations with that environment.</w:t>
      </w:r>
    </w:p>
    <w:p w14:paraId="52878FF9" w14:textId="77777777" w:rsidR="007A24F2" w:rsidRPr="00D30598" w:rsidRDefault="007A24F2" w:rsidP="0007669A">
      <w:pPr>
        <w:pStyle w:val="Normal1"/>
        <w:spacing w:before="60" w:after="60"/>
      </w:pPr>
    </w:p>
    <w:p w14:paraId="17DBACBC" w14:textId="74B00100" w:rsidR="00000191" w:rsidRDefault="00E327B5" w:rsidP="0007669A">
      <w:pPr>
        <w:pStyle w:val="Normal1"/>
        <w:spacing w:before="60" w:after="60"/>
      </w:pPr>
      <w:bookmarkStart w:id="11" w:name="Project_Def"/>
      <w:r w:rsidRPr="00D30598">
        <w:t>“</w:t>
      </w:r>
      <w:r w:rsidR="00B11206" w:rsidRPr="00D30598">
        <w:rPr>
          <w:b/>
          <w:bCs/>
        </w:rPr>
        <w:t>Project</w:t>
      </w:r>
      <w:r w:rsidRPr="00D30598">
        <w:t>”</w:t>
      </w:r>
      <w:r w:rsidR="00B11206">
        <w:t xml:space="preserve"> </w:t>
      </w:r>
      <w:bookmarkEnd w:id="11"/>
      <w:r w:rsidR="00B11206">
        <w:t>- An activity or group of activities geographically, functionally, or integrally related, regardless of funding source, to be undertaken by the CDBG recipient, subrecipient, or a public or private entity in whole or in part to accomplish a specific objective</w:t>
      </w:r>
      <w:r w:rsidR="00B11206" w:rsidRPr="00F14B76">
        <w:t>.</w:t>
      </w:r>
    </w:p>
    <w:p w14:paraId="4DC0E663" w14:textId="77777777" w:rsidR="00D30598" w:rsidRDefault="00D30598" w:rsidP="0007669A">
      <w:pPr>
        <w:pStyle w:val="Normal1"/>
        <w:spacing w:before="60" w:after="60"/>
      </w:pPr>
    </w:p>
    <w:p w14:paraId="1DD9ED31" w14:textId="64A1E1E2" w:rsidR="007A24F2" w:rsidRDefault="00947BE6" w:rsidP="0007669A">
      <w:pPr>
        <w:pStyle w:val="Normal1"/>
        <w:spacing w:before="60" w:after="60"/>
      </w:pPr>
      <w:r w:rsidRPr="004604E6">
        <w:rPr>
          <w:b/>
          <w:bCs/>
        </w:rPr>
        <w:t>“Re</w:t>
      </w:r>
      <w:r w:rsidR="00D30598">
        <w:rPr>
          <w:b/>
          <w:bCs/>
        </w:rPr>
        <w:t>s</w:t>
      </w:r>
      <w:r w:rsidRPr="004604E6">
        <w:rPr>
          <w:b/>
          <w:bCs/>
        </w:rPr>
        <w:t xml:space="preserve">ponsible Entity”, “Grantee”, </w:t>
      </w:r>
      <w:r w:rsidRPr="00D30598">
        <w:t>or</w:t>
      </w:r>
      <w:r w:rsidRPr="004604E6">
        <w:rPr>
          <w:b/>
          <w:bCs/>
        </w:rPr>
        <w:t xml:space="preserve"> “Recipient”</w:t>
      </w:r>
      <w:r>
        <w:t xml:space="preserve"> – the unit of local government receiving CDBG funds</w:t>
      </w:r>
      <w:r w:rsidR="002D4ED2">
        <w:t>.</w:t>
      </w:r>
    </w:p>
    <w:p w14:paraId="7285393A" w14:textId="50088D88" w:rsidR="00D30598" w:rsidRDefault="00D30598" w:rsidP="0007669A">
      <w:pPr>
        <w:pStyle w:val="Normal1"/>
        <w:spacing w:before="60" w:after="60"/>
      </w:pPr>
    </w:p>
    <w:p w14:paraId="0F58AE5B" w14:textId="48D8C2B0" w:rsidR="00240B19" w:rsidRDefault="00240B19" w:rsidP="00240B19">
      <w:pPr>
        <w:pStyle w:val="Heading2"/>
      </w:pPr>
      <w:bookmarkStart w:id="12" w:name="_Section_21_-"/>
      <w:bookmarkEnd w:id="12"/>
      <w:r>
        <w:t xml:space="preserve">Section </w:t>
      </w:r>
      <w:r w:rsidR="00CA4416">
        <w:t>2</w:t>
      </w:r>
      <w:r>
        <w:t xml:space="preserve"> - Background and Responsibilities</w:t>
      </w:r>
    </w:p>
    <w:p w14:paraId="57EA9342" w14:textId="071865D0" w:rsidR="00A75BB5" w:rsidRPr="00947BE6" w:rsidRDefault="00A75BB5" w:rsidP="00A75BB5">
      <w:pPr>
        <w:pStyle w:val="Heading3"/>
        <w:rPr>
          <w:rFonts w:cs="Tahoma"/>
        </w:rPr>
      </w:pPr>
      <w:r w:rsidRPr="00947BE6">
        <w:rPr>
          <w:rFonts w:cs="Tahoma"/>
        </w:rPr>
        <w:t>Overview of Process</w:t>
      </w:r>
    </w:p>
    <w:p w14:paraId="2F48ED21" w14:textId="78AA47E0" w:rsidR="00A75BB5" w:rsidRPr="004604E6" w:rsidRDefault="00A75BB5" w:rsidP="00A75BB5">
      <w:pPr>
        <w:rPr>
          <w:rFonts w:ascii="Tahoma" w:hAnsi="Tahoma" w:cs="Tahoma"/>
        </w:rPr>
      </w:pPr>
      <w:r w:rsidRPr="004604E6">
        <w:rPr>
          <w:rFonts w:ascii="Tahoma" w:hAnsi="Tahoma" w:cs="Tahoma"/>
        </w:rPr>
        <w:t>The environmental review process should begin as soon as a recipient determined the projected use of HUD assistance. This process can be simplified into the following steps:</w:t>
      </w:r>
    </w:p>
    <w:p w14:paraId="072DF1B0" w14:textId="4C9BA6AC" w:rsidR="00A75BB5" w:rsidRPr="004604E6" w:rsidRDefault="00A75BB5" w:rsidP="00A75BB5">
      <w:pPr>
        <w:rPr>
          <w:rFonts w:ascii="Tahoma" w:hAnsi="Tahoma" w:cs="Tahoma"/>
          <w:b/>
          <w:bCs/>
        </w:rPr>
      </w:pPr>
      <w:r w:rsidRPr="004604E6">
        <w:rPr>
          <w:rFonts w:ascii="Tahoma" w:hAnsi="Tahoma" w:cs="Tahoma"/>
          <w:b/>
          <w:bCs/>
          <w:i/>
          <w:iCs/>
        </w:rPr>
        <w:t>Step 1</w:t>
      </w:r>
      <w:r w:rsidRPr="004604E6">
        <w:rPr>
          <w:rFonts w:ascii="Tahoma" w:hAnsi="Tahoma" w:cs="Tahoma"/>
          <w:b/>
          <w:bCs/>
        </w:rPr>
        <w:t xml:space="preserve">: </w:t>
      </w:r>
      <w:r w:rsidR="00F16242">
        <w:rPr>
          <w:rFonts w:ascii="Tahoma" w:hAnsi="Tahoma" w:cs="Tahoma"/>
          <w:b/>
          <w:bCs/>
        </w:rPr>
        <w:t>Define the Project/</w:t>
      </w:r>
      <w:r w:rsidRPr="004604E6">
        <w:rPr>
          <w:rFonts w:ascii="Tahoma" w:hAnsi="Tahoma" w:cs="Tahoma"/>
          <w:b/>
          <w:bCs/>
        </w:rPr>
        <w:t>Project Aggregation</w:t>
      </w:r>
    </w:p>
    <w:p w14:paraId="0F2970BE" w14:textId="6AE1CBE5" w:rsidR="00A75BB5" w:rsidRPr="004604E6" w:rsidRDefault="00F16242" w:rsidP="00A75BB5">
      <w:pPr>
        <w:rPr>
          <w:rFonts w:ascii="Tahoma" w:hAnsi="Tahoma" w:cs="Tahoma"/>
        </w:rPr>
      </w:pPr>
      <w:r>
        <w:rPr>
          <w:rFonts w:ascii="Tahoma" w:hAnsi="Tahoma" w:cs="Tahoma"/>
        </w:rPr>
        <w:t>The first step in the process is to define the full extent of the project.</w:t>
      </w:r>
      <w:r w:rsidR="0013674E">
        <w:rPr>
          <w:rFonts w:ascii="Tahoma" w:hAnsi="Tahoma" w:cs="Tahoma"/>
        </w:rPr>
        <w:t xml:space="preserve"> </w:t>
      </w:r>
      <w:r w:rsidR="00A75BB5" w:rsidRPr="004604E6">
        <w:rPr>
          <w:rFonts w:ascii="Tahoma" w:hAnsi="Tahoma" w:cs="Tahoma"/>
        </w:rPr>
        <w:t xml:space="preserve">A </w:t>
      </w:r>
      <w:hyperlink w:anchor="Project_Def" w:history="1">
        <w:r w:rsidR="00A75BB5" w:rsidRPr="004604E6">
          <w:rPr>
            <w:rStyle w:val="Hyperlink"/>
            <w:rFonts w:ascii="Tahoma" w:hAnsi="Tahoma" w:cs="Tahoma"/>
          </w:rPr>
          <w:t>project</w:t>
        </w:r>
      </w:hyperlink>
      <w:r w:rsidR="00A75BB5" w:rsidRPr="004604E6">
        <w:rPr>
          <w:rFonts w:ascii="Tahoma" w:hAnsi="Tahoma" w:cs="Tahoma"/>
        </w:rPr>
        <w:t xml:space="preserve"> is made up of multiple activities that must be grouped together and be evaluated </w:t>
      </w:r>
      <w:r w:rsidR="00000191" w:rsidRPr="004604E6">
        <w:rPr>
          <w:rFonts w:ascii="Tahoma" w:hAnsi="Tahoma" w:cs="Tahoma"/>
        </w:rPr>
        <w:t>as one</w:t>
      </w:r>
      <w:r w:rsidR="007B3F6E" w:rsidRPr="004604E6">
        <w:rPr>
          <w:rFonts w:ascii="Tahoma" w:hAnsi="Tahoma" w:cs="Tahoma"/>
        </w:rPr>
        <w:t xml:space="preserve"> (to “aggregate” the project)</w:t>
      </w:r>
      <w:r w:rsidR="00000191" w:rsidRPr="004604E6">
        <w:rPr>
          <w:rFonts w:ascii="Tahoma" w:hAnsi="Tahoma" w:cs="Tahoma"/>
        </w:rPr>
        <w:t xml:space="preserve">. In deciding the most appropriate basis for aggregation when evaluating activities under more than one program, the </w:t>
      </w:r>
      <w:r w:rsidR="002C7D6A" w:rsidRPr="004604E6">
        <w:rPr>
          <w:rFonts w:ascii="Tahoma" w:hAnsi="Tahoma" w:cs="Tahoma"/>
        </w:rPr>
        <w:t>grantee</w:t>
      </w:r>
      <w:r w:rsidR="00000191" w:rsidRPr="004604E6">
        <w:rPr>
          <w:rFonts w:ascii="Tahoma" w:hAnsi="Tahoma" w:cs="Tahoma"/>
        </w:rPr>
        <w:t xml:space="preserve"> may choose different types of aggregation: functional (based on type of activities), geographic (based on location), or a combination. It is the responsibility of the </w:t>
      </w:r>
      <w:r w:rsidR="002C7D6A" w:rsidRPr="004604E6">
        <w:rPr>
          <w:rFonts w:ascii="Tahoma" w:hAnsi="Tahoma" w:cs="Tahoma"/>
        </w:rPr>
        <w:t>grantee</w:t>
      </w:r>
      <w:r w:rsidR="00000191" w:rsidRPr="004604E6">
        <w:rPr>
          <w:rFonts w:ascii="Tahoma" w:hAnsi="Tahoma" w:cs="Tahoma"/>
        </w:rPr>
        <w:t xml:space="preserve"> to choose how to aggregate these activities.</w:t>
      </w:r>
      <w:r w:rsidR="00947BE6" w:rsidRPr="004604E6">
        <w:rPr>
          <w:rFonts w:ascii="Tahoma" w:hAnsi="Tahoma" w:cs="Tahoma"/>
        </w:rPr>
        <w:t xml:space="preserve"> It should be noted that if a project consists of several activities, some of which are categorically excluded and some of which require an environmental assessment, the recipient must aggregate the related activities and conduct an environmental assessment on the en</w:t>
      </w:r>
      <w:r w:rsidR="005C2353">
        <w:rPr>
          <w:rFonts w:ascii="Tahoma" w:hAnsi="Tahoma" w:cs="Tahoma"/>
        </w:rPr>
        <w:t>t</w:t>
      </w:r>
      <w:r w:rsidR="00947BE6" w:rsidRPr="004604E6">
        <w:rPr>
          <w:rFonts w:ascii="Tahoma" w:hAnsi="Tahoma" w:cs="Tahoma"/>
        </w:rPr>
        <w:t xml:space="preserve">ire </w:t>
      </w:r>
      <w:r w:rsidR="005C2353">
        <w:rPr>
          <w:rFonts w:ascii="Tahoma" w:hAnsi="Tahoma" w:cs="Tahoma"/>
        </w:rPr>
        <w:t>project.</w:t>
      </w:r>
    </w:p>
    <w:p w14:paraId="667DE216" w14:textId="159C4C0C" w:rsidR="00000191" w:rsidRPr="004604E6" w:rsidRDefault="00000191" w:rsidP="00A75BB5">
      <w:pPr>
        <w:rPr>
          <w:rFonts w:ascii="Tahoma" w:hAnsi="Tahoma" w:cs="Tahoma"/>
          <w:b/>
          <w:bCs/>
        </w:rPr>
      </w:pPr>
      <w:r w:rsidRPr="004604E6">
        <w:rPr>
          <w:rFonts w:ascii="Tahoma" w:hAnsi="Tahoma" w:cs="Tahoma"/>
          <w:b/>
          <w:bCs/>
          <w:i/>
          <w:iCs/>
        </w:rPr>
        <w:t>Step 2</w:t>
      </w:r>
      <w:r w:rsidRPr="004604E6">
        <w:rPr>
          <w:rFonts w:ascii="Tahoma" w:hAnsi="Tahoma" w:cs="Tahoma"/>
          <w:b/>
          <w:bCs/>
        </w:rPr>
        <w:t>:</w:t>
      </w:r>
      <w:r w:rsidRPr="004604E6">
        <w:rPr>
          <w:rFonts w:ascii="Tahoma" w:hAnsi="Tahoma" w:cs="Tahoma"/>
        </w:rPr>
        <w:t xml:space="preserve"> </w:t>
      </w:r>
      <w:r w:rsidRPr="004604E6">
        <w:rPr>
          <w:rFonts w:ascii="Tahoma" w:hAnsi="Tahoma" w:cs="Tahoma"/>
          <w:b/>
          <w:bCs/>
        </w:rPr>
        <w:t xml:space="preserve">Determine </w:t>
      </w:r>
      <w:r w:rsidR="0013674E">
        <w:rPr>
          <w:rFonts w:ascii="Tahoma" w:hAnsi="Tahoma" w:cs="Tahoma"/>
          <w:b/>
          <w:bCs/>
        </w:rPr>
        <w:t>the level of</w:t>
      </w:r>
      <w:r w:rsidR="00E43AF9">
        <w:rPr>
          <w:rFonts w:ascii="Tahoma" w:hAnsi="Tahoma" w:cs="Tahoma"/>
          <w:b/>
          <w:bCs/>
        </w:rPr>
        <w:t xml:space="preserve"> environmental</w:t>
      </w:r>
      <w:r w:rsidR="0013674E">
        <w:rPr>
          <w:rFonts w:ascii="Tahoma" w:hAnsi="Tahoma" w:cs="Tahoma"/>
          <w:b/>
          <w:bCs/>
        </w:rPr>
        <w:t xml:space="preserve"> review:</w:t>
      </w:r>
    </w:p>
    <w:p w14:paraId="2E780A8E" w14:textId="73468A68" w:rsidR="0013674E" w:rsidRPr="00657DD9" w:rsidRDefault="0013674E" w:rsidP="00657DD9">
      <w:pPr>
        <w:rPr>
          <w:rFonts w:ascii="Tahoma" w:hAnsi="Tahoma" w:cs="Tahoma"/>
        </w:rPr>
      </w:pPr>
      <w:r>
        <w:rPr>
          <w:rFonts w:ascii="Tahoma" w:hAnsi="Tahoma" w:cs="Tahoma"/>
        </w:rPr>
        <w:t>Based on the activities that are part of the overall project, determine the appropriate level of environmental review.</w:t>
      </w:r>
      <w:r w:rsidR="00E43AF9">
        <w:rPr>
          <w:rFonts w:ascii="Tahoma" w:hAnsi="Tahoma" w:cs="Tahoma"/>
        </w:rPr>
        <w:t xml:space="preserve"> Detailed information regarding each level of review is provided later in this chapter.</w:t>
      </w:r>
    </w:p>
    <w:p w14:paraId="33B6B54F" w14:textId="23091504" w:rsidR="00000191" w:rsidRPr="00657DD9" w:rsidRDefault="0013674E" w:rsidP="000D07E1">
      <w:pPr>
        <w:pStyle w:val="ListParagraph"/>
        <w:numPr>
          <w:ilvl w:val="0"/>
          <w:numId w:val="31"/>
        </w:numPr>
        <w:rPr>
          <w:rFonts w:ascii="Tahoma" w:hAnsi="Tahoma" w:cs="Tahoma"/>
        </w:rPr>
      </w:pPr>
      <w:r w:rsidRPr="00657DD9">
        <w:rPr>
          <w:rFonts w:ascii="Tahoma" w:hAnsi="Tahoma" w:cs="Tahoma"/>
        </w:rPr>
        <w:t xml:space="preserve">Exempt Activities: </w:t>
      </w:r>
      <w:r w:rsidR="00000191" w:rsidRPr="00657DD9">
        <w:rPr>
          <w:rFonts w:ascii="Tahoma" w:hAnsi="Tahoma" w:cs="Tahoma"/>
        </w:rPr>
        <w:t xml:space="preserve">There are a series of activities that are exempt from environmental review. It is the responsibility of the </w:t>
      </w:r>
      <w:r w:rsidR="002C7D6A" w:rsidRPr="00657DD9">
        <w:rPr>
          <w:rFonts w:ascii="Tahoma" w:hAnsi="Tahoma" w:cs="Tahoma"/>
        </w:rPr>
        <w:t xml:space="preserve">grantee </w:t>
      </w:r>
      <w:r w:rsidR="00000191" w:rsidRPr="00657DD9">
        <w:rPr>
          <w:rFonts w:ascii="Tahoma" w:hAnsi="Tahoma" w:cs="Tahoma"/>
        </w:rPr>
        <w:t xml:space="preserve">to identify these activities. These actions are not exempt, however, from </w:t>
      </w:r>
      <w:r w:rsidR="00594866" w:rsidRPr="00657DD9">
        <w:rPr>
          <w:rFonts w:ascii="Tahoma" w:hAnsi="Tahoma" w:cs="Tahoma"/>
        </w:rPr>
        <w:t>the applicable requirements of 24 CFR Part 58.6.</w:t>
      </w:r>
    </w:p>
    <w:p w14:paraId="5FA3AC91" w14:textId="0C25DFA6" w:rsidR="00000191" w:rsidRPr="00657DD9" w:rsidRDefault="0013674E" w:rsidP="000D07E1">
      <w:pPr>
        <w:pStyle w:val="ListParagraph"/>
        <w:numPr>
          <w:ilvl w:val="0"/>
          <w:numId w:val="31"/>
        </w:numPr>
        <w:rPr>
          <w:rFonts w:ascii="Tahoma" w:hAnsi="Tahoma" w:cs="Tahoma"/>
        </w:rPr>
      </w:pPr>
      <w:r w:rsidRPr="00657DD9">
        <w:rPr>
          <w:rFonts w:ascii="Tahoma" w:hAnsi="Tahoma" w:cs="Tahoma"/>
        </w:rPr>
        <w:t xml:space="preserve">Categorically Excluded Activities: </w:t>
      </w:r>
      <w:r w:rsidR="00000191" w:rsidRPr="00657DD9">
        <w:rPr>
          <w:rFonts w:ascii="Tahoma" w:hAnsi="Tahoma" w:cs="Tahoma"/>
        </w:rPr>
        <w:t xml:space="preserve">There are a series of activities that are categorically excluded from having to complete an </w:t>
      </w:r>
      <w:hyperlink w:anchor="EIS_Def" w:history="1">
        <w:r w:rsidR="00000191" w:rsidRPr="0013674E">
          <w:rPr>
            <w:rStyle w:val="Hyperlink"/>
            <w:rFonts w:ascii="Tahoma" w:hAnsi="Tahoma" w:cs="Tahoma"/>
          </w:rPr>
          <w:t xml:space="preserve">environmental impact </w:t>
        </w:r>
        <w:r w:rsidR="00000191" w:rsidRPr="0013674E">
          <w:rPr>
            <w:rStyle w:val="Hyperlink"/>
            <w:rFonts w:ascii="Tahoma" w:hAnsi="Tahoma" w:cs="Tahoma"/>
          </w:rPr>
          <w:lastRenderedPageBreak/>
          <w:t>statement</w:t>
        </w:r>
      </w:hyperlink>
      <w:r w:rsidR="00000191" w:rsidRPr="00657DD9">
        <w:rPr>
          <w:rFonts w:ascii="Tahoma" w:hAnsi="Tahoma" w:cs="Tahoma"/>
        </w:rPr>
        <w:t xml:space="preserve"> (EIS), </w:t>
      </w:r>
      <w:hyperlink w:anchor="EA_Def" w:history="1">
        <w:r w:rsidR="00000191" w:rsidRPr="0013674E">
          <w:rPr>
            <w:rStyle w:val="Hyperlink"/>
            <w:rFonts w:ascii="Tahoma" w:hAnsi="Tahoma" w:cs="Tahoma"/>
          </w:rPr>
          <w:t>environmental assessment</w:t>
        </w:r>
      </w:hyperlink>
      <w:r w:rsidR="00000191" w:rsidRPr="00657DD9">
        <w:rPr>
          <w:rFonts w:ascii="Tahoma" w:hAnsi="Tahoma" w:cs="Tahoma"/>
        </w:rPr>
        <w:t xml:space="preserve">, and a </w:t>
      </w:r>
      <w:hyperlink w:anchor="FONSI_Def" w:history="1">
        <w:r w:rsidR="00000191" w:rsidRPr="0013674E">
          <w:rPr>
            <w:rStyle w:val="Hyperlink"/>
            <w:rFonts w:ascii="Tahoma" w:hAnsi="Tahoma" w:cs="Tahoma"/>
          </w:rPr>
          <w:t>finding of no significant impact</w:t>
        </w:r>
      </w:hyperlink>
      <w:r w:rsidR="00000191" w:rsidRPr="00657DD9">
        <w:rPr>
          <w:rFonts w:ascii="Tahoma" w:hAnsi="Tahoma" w:cs="Tahoma"/>
        </w:rPr>
        <w:t xml:space="preserve"> (FONSI). It is the responsibility of the </w:t>
      </w:r>
      <w:r w:rsidR="002C7D6A" w:rsidRPr="00657DD9">
        <w:rPr>
          <w:rFonts w:ascii="Tahoma" w:hAnsi="Tahoma" w:cs="Tahoma"/>
        </w:rPr>
        <w:t>grantee</w:t>
      </w:r>
      <w:r w:rsidR="00000191" w:rsidRPr="00657DD9">
        <w:rPr>
          <w:rFonts w:ascii="Tahoma" w:hAnsi="Tahoma" w:cs="Tahoma"/>
        </w:rPr>
        <w:t xml:space="preserve"> to identify these activities and record these determinations in writing. There are two categories of categorically excluded activities, those subject to </w:t>
      </w:r>
      <w:r w:rsidR="00A17AAE" w:rsidRPr="00657DD9">
        <w:rPr>
          <w:rFonts w:ascii="Tahoma" w:hAnsi="Tahoma" w:cs="Tahoma"/>
        </w:rPr>
        <w:t xml:space="preserve">24 CFR Part </w:t>
      </w:r>
      <w:r w:rsidR="00000191" w:rsidRPr="00657DD9">
        <w:rPr>
          <w:rFonts w:ascii="Tahoma" w:hAnsi="Tahoma" w:cs="Tahoma"/>
        </w:rPr>
        <w:t xml:space="preserve">Sec. 58.5 and those that are not. The lists for these categories will be given in Sec. </w:t>
      </w:r>
      <w:r w:rsidR="004E6CCF" w:rsidRPr="00657DD9">
        <w:rPr>
          <w:rFonts w:ascii="Tahoma" w:hAnsi="Tahoma" w:cs="Tahoma"/>
        </w:rPr>
        <w:t>4</w:t>
      </w:r>
      <w:r w:rsidR="00000191" w:rsidRPr="00657DD9">
        <w:rPr>
          <w:rFonts w:ascii="Tahoma" w:hAnsi="Tahoma" w:cs="Tahoma"/>
        </w:rPr>
        <w:t xml:space="preserve"> of this chapter.</w:t>
      </w:r>
    </w:p>
    <w:p w14:paraId="103C9F70" w14:textId="46402C6E" w:rsidR="003A739F" w:rsidRPr="00657DD9" w:rsidRDefault="0013674E" w:rsidP="000D07E1">
      <w:pPr>
        <w:pStyle w:val="ListParagraph"/>
        <w:numPr>
          <w:ilvl w:val="0"/>
          <w:numId w:val="31"/>
        </w:numPr>
        <w:rPr>
          <w:rFonts w:ascii="Tahoma" w:hAnsi="Tahoma" w:cs="Tahoma"/>
        </w:rPr>
      </w:pPr>
      <w:r w:rsidRPr="00657DD9">
        <w:rPr>
          <w:rFonts w:ascii="Tahoma" w:hAnsi="Tahoma" w:cs="Tahoma"/>
        </w:rPr>
        <w:t xml:space="preserve">Environmental Assessment: </w:t>
      </w:r>
      <w:r w:rsidR="003A739F" w:rsidRPr="00657DD9">
        <w:rPr>
          <w:rFonts w:ascii="Tahoma" w:hAnsi="Tahoma" w:cs="Tahoma"/>
        </w:rPr>
        <w:t xml:space="preserve">If a project is not exempt or categorically excluded, the </w:t>
      </w:r>
      <w:r w:rsidR="002C7D6A" w:rsidRPr="00657DD9">
        <w:rPr>
          <w:rFonts w:ascii="Tahoma" w:hAnsi="Tahoma" w:cs="Tahoma"/>
        </w:rPr>
        <w:t>grantee</w:t>
      </w:r>
      <w:r w:rsidR="003A739F" w:rsidRPr="00657DD9">
        <w:rPr>
          <w:rFonts w:ascii="Tahoma" w:hAnsi="Tahoma" w:cs="Tahoma"/>
        </w:rPr>
        <w:t xml:space="preserve"> must prepare an Environmental Assessment. More information on Environmental Assessments can be found in Sec. </w:t>
      </w:r>
      <w:r w:rsidR="009361E4" w:rsidRPr="00657DD9">
        <w:rPr>
          <w:rFonts w:ascii="Tahoma" w:hAnsi="Tahoma" w:cs="Tahoma"/>
        </w:rPr>
        <w:t>4</w:t>
      </w:r>
      <w:r w:rsidR="003A739F" w:rsidRPr="00657DD9">
        <w:rPr>
          <w:rFonts w:ascii="Tahoma" w:hAnsi="Tahoma" w:cs="Tahoma"/>
        </w:rPr>
        <w:t xml:space="preserve"> of this chapter. </w:t>
      </w:r>
    </w:p>
    <w:p w14:paraId="6618ADAB" w14:textId="6BA8F8F1" w:rsidR="00F16242" w:rsidRPr="004604E6" w:rsidRDefault="00F16242" w:rsidP="00A75BB5">
      <w:pPr>
        <w:rPr>
          <w:rFonts w:ascii="Tahoma" w:hAnsi="Tahoma" w:cs="Tahoma"/>
        </w:rPr>
      </w:pPr>
      <w:r>
        <w:rPr>
          <w:rFonts w:ascii="Tahoma" w:hAnsi="Tahoma" w:cs="Tahoma"/>
        </w:rPr>
        <w:t>It should be noted that if an</w:t>
      </w:r>
      <w:r w:rsidR="0013674E">
        <w:rPr>
          <w:rFonts w:ascii="Tahoma" w:hAnsi="Tahoma" w:cs="Tahoma"/>
        </w:rPr>
        <w:t>y</w:t>
      </w:r>
      <w:r>
        <w:rPr>
          <w:rFonts w:ascii="Tahoma" w:hAnsi="Tahoma" w:cs="Tahoma"/>
        </w:rPr>
        <w:t xml:space="preserve"> </w:t>
      </w:r>
      <w:r w:rsidR="0013674E">
        <w:rPr>
          <w:rFonts w:ascii="Tahoma" w:hAnsi="Tahoma" w:cs="Tahoma"/>
        </w:rPr>
        <w:t>environmental review</w:t>
      </w:r>
      <w:r>
        <w:rPr>
          <w:rFonts w:ascii="Tahoma" w:hAnsi="Tahoma" w:cs="Tahoma"/>
        </w:rPr>
        <w:t xml:space="preserve"> </w:t>
      </w:r>
      <w:r w:rsidR="0013674E">
        <w:rPr>
          <w:rFonts w:ascii="Tahoma" w:hAnsi="Tahoma" w:cs="Tahoma"/>
        </w:rPr>
        <w:t>determines there will</w:t>
      </w:r>
      <w:r w:rsidRPr="004604E6">
        <w:rPr>
          <w:rFonts w:ascii="Tahoma" w:hAnsi="Tahoma" w:cs="Tahoma"/>
        </w:rPr>
        <w:t xml:space="preserve"> potentially </w:t>
      </w:r>
      <w:r w:rsidR="0013674E">
        <w:rPr>
          <w:rFonts w:ascii="Tahoma" w:hAnsi="Tahoma" w:cs="Tahoma"/>
        </w:rPr>
        <w:t xml:space="preserve">be </w:t>
      </w:r>
      <w:r w:rsidRPr="004604E6">
        <w:rPr>
          <w:rFonts w:ascii="Tahoma" w:hAnsi="Tahoma" w:cs="Tahoma"/>
        </w:rPr>
        <w:t>significant impact on the human environment, the grantee must prepare an EIS and publish for public comment.</w:t>
      </w:r>
      <w:r>
        <w:rPr>
          <w:rFonts w:ascii="Tahoma" w:hAnsi="Tahoma" w:cs="Tahoma"/>
        </w:rPr>
        <w:t xml:space="preserve"> However</w:t>
      </w:r>
      <w:r w:rsidR="00CD1AAF">
        <w:rPr>
          <w:rFonts w:ascii="Tahoma" w:hAnsi="Tahoma" w:cs="Tahoma"/>
        </w:rPr>
        <w:t>,</w:t>
      </w:r>
      <w:r>
        <w:rPr>
          <w:rFonts w:ascii="Tahoma" w:hAnsi="Tahoma" w:cs="Tahoma"/>
        </w:rPr>
        <w:t xml:space="preserve"> it is the State’s general policy not to fund projects that would require an EIS.</w:t>
      </w:r>
    </w:p>
    <w:p w14:paraId="1BD9A10D" w14:textId="5BF66A60" w:rsidR="00F16242" w:rsidRPr="004604E6" w:rsidRDefault="00F16242" w:rsidP="00F16242">
      <w:pPr>
        <w:rPr>
          <w:rFonts w:ascii="Tahoma" w:hAnsi="Tahoma" w:cs="Tahoma"/>
          <w:b/>
          <w:bCs/>
        </w:rPr>
      </w:pPr>
      <w:r w:rsidRPr="004604E6">
        <w:rPr>
          <w:rFonts w:ascii="Tahoma" w:hAnsi="Tahoma" w:cs="Tahoma"/>
          <w:b/>
          <w:bCs/>
          <w:i/>
          <w:iCs/>
        </w:rPr>
        <w:t xml:space="preserve">Step </w:t>
      </w:r>
      <w:r w:rsidR="0013674E">
        <w:rPr>
          <w:rFonts w:ascii="Tahoma" w:hAnsi="Tahoma" w:cs="Tahoma"/>
          <w:b/>
          <w:bCs/>
          <w:i/>
          <w:iCs/>
        </w:rPr>
        <w:t>3</w:t>
      </w:r>
      <w:r w:rsidRPr="004604E6">
        <w:rPr>
          <w:rFonts w:ascii="Tahoma" w:hAnsi="Tahoma" w:cs="Tahoma"/>
          <w:b/>
          <w:bCs/>
        </w:rPr>
        <w:t>:</w:t>
      </w:r>
      <w:r w:rsidRPr="004604E6">
        <w:rPr>
          <w:rFonts w:ascii="Tahoma" w:hAnsi="Tahoma" w:cs="Tahoma"/>
        </w:rPr>
        <w:t xml:space="preserve"> </w:t>
      </w:r>
      <w:r w:rsidRPr="004604E6">
        <w:rPr>
          <w:rFonts w:ascii="Tahoma" w:hAnsi="Tahoma" w:cs="Tahoma"/>
          <w:b/>
          <w:bCs/>
        </w:rPr>
        <w:t>Prepare Environmental Review Record (ERR)</w:t>
      </w:r>
    </w:p>
    <w:p w14:paraId="07042E4B" w14:textId="4414867C" w:rsidR="00F16242" w:rsidRPr="004604E6" w:rsidRDefault="00F16242" w:rsidP="00F16242">
      <w:pPr>
        <w:rPr>
          <w:rFonts w:ascii="Tahoma" w:hAnsi="Tahoma" w:cs="Tahoma"/>
        </w:rPr>
      </w:pPr>
      <w:r>
        <w:rPr>
          <w:rFonts w:ascii="Tahoma" w:hAnsi="Tahoma" w:cs="Tahoma"/>
        </w:rPr>
        <w:t>Regardless of the level of review required for a project, t</w:t>
      </w:r>
      <w:r w:rsidRPr="004604E6">
        <w:rPr>
          <w:rFonts w:ascii="Tahoma" w:hAnsi="Tahoma" w:cs="Tahoma"/>
        </w:rPr>
        <w:t xml:space="preserve">he grantee must maintain a </w:t>
      </w:r>
      <w:r>
        <w:rPr>
          <w:rFonts w:ascii="Tahoma" w:hAnsi="Tahoma" w:cs="Tahoma"/>
        </w:rPr>
        <w:t xml:space="preserve">complete </w:t>
      </w:r>
      <w:r w:rsidRPr="004604E6">
        <w:rPr>
          <w:rFonts w:ascii="Tahoma" w:hAnsi="Tahoma" w:cs="Tahoma"/>
        </w:rPr>
        <w:t xml:space="preserve">written record of the </w:t>
      </w:r>
      <w:r w:rsidR="0013674E">
        <w:rPr>
          <w:rFonts w:ascii="Tahoma" w:hAnsi="Tahoma" w:cs="Tahoma"/>
        </w:rPr>
        <w:t>ERR</w:t>
      </w:r>
      <w:r w:rsidRPr="004604E6">
        <w:rPr>
          <w:rFonts w:ascii="Tahoma" w:hAnsi="Tahoma" w:cs="Tahoma"/>
        </w:rPr>
        <w:t xml:space="preserve"> and make the records available to the public.</w:t>
      </w:r>
      <w:r w:rsidR="0013674E">
        <w:rPr>
          <w:rFonts w:ascii="Tahoma" w:hAnsi="Tahoma" w:cs="Tahoma"/>
        </w:rPr>
        <w:t xml:space="preserve"> More details on what should be included in the ERR are listed under the “ERR” section of this chapter.</w:t>
      </w:r>
    </w:p>
    <w:p w14:paraId="264B97F0" w14:textId="1656A37C" w:rsidR="006725FF" w:rsidRPr="004604E6" w:rsidRDefault="006725FF" w:rsidP="00A75BB5">
      <w:pPr>
        <w:rPr>
          <w:rFonts w:ascii="Tahoma" w:hAnsi="Tahoma" w:cs="Tahoma"/>
          <w:b/>
          <w:bCs/>
        </w:rPr>
      </w:pPr>
      <w:r w:rsidRPr="004604E6">
        <w:rPr>
          <w:rFonts w:ascii="Tahoma" w:hAnsi="Tahoma" w:cs="Tahoma"/>
          <w:b/>
          <w:bCs/>
          <w:i/>
          <w:iCs/>
        </w:rPr>
        <w:t xml:space="preserve">Step </w:t>
      </w:r>
      <w:r w:rsidR="0013674E">
        <w:rPr>
          <w:rFonts w:ascii="Tahoma" w:hAnsi="Tahoma" w:cs="Tahoma"/>
          <w:b/>
          <w:bCs/>
          <w:i/>
          <w:iCs/>
        </w:rPr>
        <w:t>4</w:t>
      </w:r>
      <w:r w:rsidRPr="004604E6">
        <w:rPr>
          <w:rFonts w:ascii="Tahoma" w:hAnsi="Tahoma" w:cs="Tahoma"/>
          <w:b/>
          <w:bCs/>
        </w:rPr>
        <w:t xml:space="preserve">: Publication of Finding of No Significant Impact </w:t>
      </w:r>
      <w:r w:rsidR="005C2353">
        <w:rPr>
          <w:rFonts w:ascii="Tahoma" w:hAnsi="Tahoma" w:cs="Tahoma"/>
          <w:b/>
          <w:bCs/>
        </w:rPr>
        <w:t>(FONSI)</w:t>
      </w:r>
    </w:p>
    <w:p w14:paraId="7D4A68C1" w14:textId="7DE29814" w:rsidR="006725FF" w:rsidRPr="004604E6" w:rsidRDefault="006725FF" w:rsidP="00A75BB5">
      <w:pPr>
        <w:rPr>
          <w:rFonts w:ascii="Tahoma" w:hAnsi="Tahoma" w:cs="Tahoma"/>
        </w:rPr>
      </w:pPr>
      <w:r w:rsidRPr="004604E6">
        <w:rPr>
          <w:rFonts w:ascii="Tahoma" w:hAnsi="Tahoma" w:cs="Tahoma"/>
        </w:rPr>
        <w:t xml:space="preserve">When a project is determined not to have a potentially significant impact on the human environment, the </w:t>
      </w:r>
      <w:r w:rsidR="002C7D6A" w:rsidRPr="004604E6">
        <w:rPr>
          <w:rFonts w:ascii="Tahoma" w:hAnsi="Tahoma" w:cs="Tahoma"/>
        </w:rPr>
        <w:t>grantee</w:t>
      </w:r>
      <w:r w:rsidRPr="004604E6">
        <w:rPr>
          <w:rFonts w:ascii="Tahoma" w:hAnsi="Tahoma" w:cs="Tahoma"/>
        </w:rPr>
        <w:t xml:space="preserve"> must prepare a FONSI notice and send the notice to all interested parties. </w:t>
      </w:r>
      <w:r w:rsidR="00E43AF9">
        <w:rPr>
          <w:rFonts w:ascii="Tahoma" w:hAnsi="Tahoma" w:cs="Tahoma"/>
        </w:rPr>
        <w:t>See Step 5 below about combining the FONSI with another required publication.</w:t>
      </w:r>
    </w:p>
    <w:p w14:paraId="4E222C83" w14:textId="0E3C0663" w:rsidR="006725FF" w:rsidRPr="004604E6" w:rsidRDefault="006725FF" w:rsidP="00A75BB5">
      <w:pPr>
        <w:rPr>
          <w:rFonts w:ascii="Tahoma" w:hAnsi="Tahoma" w:cs="Tahoma"/>
          <w:b/>
          <w:bCs/>
        </w:rPr>
      </w:pPr>
      <w:r w:rsidRPr="004604E6">
        <w:rPr>
          <w:rFonts w:ascii="Tahoma" w:hAnsi="Tahoma" w:cs="Tahoma"/>
          <w:b/>
          <w:bCs/>
          <w:i/>
          <w:iCs/>
        </w:rPr>
        <w:t xml:space="preserve">Step </w:t>
      </w:r>
      <w:r w:rsidR="0013674E">
        <w:rPr>
          <w:rFonts w:ascii="Tahoma" w:hAnsi="Tahoma" w:cs="Tahoma"/>
          <w:b/>
          <w:bCs/>
          <w:i/>
          <w:iCs/>
        </w:rPr>
        <w:t>5</w:t>
      </w:r>
      <w:r w:rsidRPr="004604E6">
        <w:rPr>
          <w:rFonts w:ascii="Tahoma" w:hAnsi="Tahoma" w:cs="Tahoma"/>
          <w:b/>
          <w:bCs/>
          <w:i/>
          <w:iCs/>
        </w:rPr>
        <w:t>:</w:t>
      </w:r>
      <w:r w:rsidRPr="004604E6">
        <w:rPr>
          <w:rFonts w:ascii="Tahoma" w:hAnsi="Tahoma" w:cs="Tahoma"/>
          <w:b/>
          <w:bCs/>
        </w:rPr>
        <w:t xml:space="preserve"> </w:t>
      </w:r>
      <w:r w:rsidR="00A3405C" w:rsidRPr="004604E6">
        <w:rPr>
          <w:rFonts w:ascii="Tahoma" w:hAnsi="Tahoma" w:cs="Tahoma"/>
          <w:b/>
          <w:bCs/>
        </w:rPr>
        <w:t>Publish a Notice of Intent to Request the Release of Funds (NOI/RROF)</w:t>
      </w:r>
    </w:p>
    <w:p w14:paraId="592C238B" w14:textId="4D493978" w:rsidR="00A3405C" w:rsidRPr="004604E6" w:rsidRDefault="00A3405C" w:rsidP="00A75BB5">
      <w:pPr>
        <w:rPr>
          <w:rFonts w:ascii="Tahoma" w:hAnsi="Tahoma" w:cs="Tahoma"/>
        </w:rPr>
      </w:pPr>
      <w:r w:rsidRPr="004604E6">
        <w:rPr>
          <w:rFonts w:ascii="Tahoma" w:hAnsi="Tahoma" w:cs="Tahoma"/>
        </w:rPr>
        <w:t xml:space="preserve">Once an environmental review is complete, the </w:t>
      </w:r>
      <w:r w:rsidR="002C7D6A" w:rsidRPr="004604E6">
        <w:rPr>
          <w:rFonts w:ascii="Tahoma" w:hAnsi="Tahoma" w:cs="Tahoma"/>
        </w:rPr>
        <w:t>grantee</w:t>
      </w:r>
      <w:r w:rsidRPr="004604E6">
        <w:rPr>
          <w:rFonts w:ascii="Tahoma" w:hAnsi="Tahoma" w:cs="Tahoma"/>
        </w:rPr>
        <w:t xml:space="preserve"> must publish a public notice that </w:t>
      </w:r>
      <w:r w:rsidR="00106047" w:rsidRPr="004604E6">
        <w:rPr>
          <w:rFonts w:ascii="Tahoma" w:hAnsi="Tahoma" w:cs="Tahoma"/>
        </w:rPr>
        <w:t>it</w:t>
      </w:r>
      <w:r w:rsidRPr="004604E6">
        <w:rPr>
          <w:rFonts w:ascii="Tahoma" w:hAnsi="Tahoma" w:cs="Tahoma"/>
        </w:rPr>
        <w:t xml:space="preserve"> will be requesting the release of HUD funding to begin work on the project.</w:t>
      </w:r>
      <w:r w:rsidR="005C2353">
        <w:rPr>
          <w:rFonts w:ascii="Tahoma" w:hAnsi="Tahoma" w:cs="Tahoma"/>
        </w:rPr>
        <w:t xml:space="preserve"> The NOI/RROF can be done in conjunction with the FONSI (which is called the Combined Notice).</w:t>
      </w:r>
      <w:r w:rsidR="00F16242">
        <w:rPr>
          <w:rFonts w:ascii="Tahoma" w:hAnsi="Tahoma" w:cs="Tahoma"/>
        </w:rPr>
        <w:t xml:space="preserve"> Once the public comment period for the notice has expired, the complete environmental review record must be submitted to the State.</w:t>
      </w:r>
    </w:p>
    <w:p w14:paraId="7268FB9A" w14:textId="77777777" w:rsidR="00A75BB5" w:rsidRPr="00A75BB5" w:rsidRDefault="00A75BB5" w:rsidP="00A75BB5"/>
    <w:p w14:paraId="58258AA9" w14:textId="1A95B554" w:rsidR="00240B19" w:rsidRDefault="00240B19" w:rsidP="00240B19">
      <w:pPr>
        <w:pStyle w:val="Heading3"/>
      </w:pPr>
      <w:r>
        <w:t xml:space="preserve">Applicable Regulations </w:t>
      </w:r>
    </w:p>
    <w:p w14:paraId="334558AD" w14:textId="00D02CCB" w:rsidR="00B10270" w:rsidRDefault="00240B19" w:rsidP="00B10270">
      <w:pPr>
        <w:pStyle w:val="Normal1"/>
        <w:spacing w:before="60" w:after="60"/>
      </w:pPr>
      <w:r>
        <w:t xml:space="preserve">The rules and regulations that govern the environmental review process can be found under 24 CFR Part 58, Subparts A-H.  </w:t>
      </w:r>
      <w:r w:rsidR="00B10270">
        <w:t xml:space="preserve">The provisions of the National Environmental </w:t>
      </w:r>
      <w:r w:rsidR="00B10270">
        <w:lastRenderedPageBreak/>
        <w:t xml:space="preserve">Policy Act (NEPA) and the Council on Environmental Quality (CEQ) regulations in 40 CFR Parts 1500 through 1508, and other state and Federal laws and regulations may also apply depending upon the type of project and the level of review required.  These laws and authorities are referenced in the HUD and NEPA regulations.  For additional information and assistance go to </w:t>
      </w:r>
      <w:hyperlink r:id="rId14" w:history="1">
        <w:r w:rsidR="00B10270" w:rsidRPr="00D53031">
          <w:rPr>
            <w:rStyle w:val="Hyperlink"/>
          </w:rPr>
          <w:t>https://www.hudexchange.info/environmental-review/</w:t>
        </w:r>
      </w:hyperlink>
      <w:r w:rsidR="00E73095">
        <w:rPr>
          <w:rStyle w:val="Hyperlink"/>
        </w:rPr>
        <w:t>.</w:t>
      </w:r>
    </w:p>
    <w:p w14:paraId="0667B22D" w14:textId="77777777" w:rsidR="00240B19" w:rsidRPr="0049058C" w:rsidRDefault="00240B19" w:rsidP="00B10270">
      <w:pPr>
        <w:pStyle w:val="Normal1"/>
        <w:spacing w:before="60" w:after="60"/>
      </w:pPr>
    </w:p>
    <w:p w14:paraId="532B2D35" w14:textId="77777777" w:rsidR="00240B19" w:rsidRDefault="00240B19" w:rsidP="00240B19">
      <w:pPr>
        <w:pStyle w:val="Heading3"/>
      </w:pPr>
      <w:r>
        <w:t>Responsible Party</w:t>
      </w:r>
    </w:p>
    <w:p w14:paraId="3A722152" w14:textId="4D531DB2" w:rsidR="00240B19" w:rsidRDefault="00A6422C" w:rsidP="00132ED1">
      <w:pPr>
        <w:pStyle w:val="Bullet10"/>
      </w:pPr>
      <w:r>
        <w:t>To</w:t>
      </w:r>
      <w:r w:rsidR="00240B19">
        <w:t xml:space="preserve"> carry out its environmental review responsibilities, the recipient should designate two responsible parties: </w:t>
      </w:r>
    </w:p>
    <w:p w14:paraId="4775232D" w14:textId="7C8C607C" w:rsidR="00240B19" w:rsidRDefault="00240B19" w:rsidP="004604E6">
      <w:pPr>
        <w:pStyle w:val="Bullet10"/>
        <w:numPr>
          <w:ilvl w:val="1"/>
          <w:numId w:val="8"/>
        </w:numPr>
      </w:pPr>
      <w:r w:rsidRPr="2FBB6E41">
        <w:rPr>
          <w:u w:val="single"/>
        </w:rPr>
        <w:t>Certifying Officer</w:t>
      </w:r>
      <w:r>
        <w:t>:</w:t>
      </w:r>
      <w:r w:rsidR="00531C80">
        <w:t xml:space="preserve"> </w:t>
      </w:r>
      <w:r w:rsidR="000B36CA">
        <w:t>T</w:t>
      </w:r>
      <w:r>
        <w:t>he “responsible Federal official”</w:t>
      </w:r>
      <w:r w:rsidR="000959B8">
        <w:t xml:space="preserve"> who </w:t>
      </w:r>
      <w:r>
        <w:t>ensure</w:t>
      </w:r>
      <w:r w:rsidR="000959B8">
        <w:t>s</w:t>
      </w:r>
      <w:r>
        <w:t xml:space="preserve"> compliance with the National Environmental Policy Act (NEPA) and the Federal laws and authorities cited at </w:t>
      </w:r>
      <w:r w:rsidR="009361E4">
        <w:t>24 CFR Part 58.5</w:t>
      </w:r>
      <w:r>
        <w:t xml:space="preserve"> has been achieved.  </w:t>
      </w:r>
      <w:r w:rsidRPr="000C2FBD">
        <w:t xml:space="preserve">This person is the chief elected official, chief executive official, or other official designated by formal resolution of the </w:t>
      </w:r>
      <w:r w:rsidR="006C3BA4">
        <w:t xml:space="preserve">local </w:t>
      </w:r>
      <w:r w:rsidRPr="000C2FBD">
        <w:t>governing body.</w:t>
      </w:r>
      <w:r>
        <w:t xml:space="preserve">  The certifying officer must have the authority to assume legal responsibility for certifying that all environmental requirements have been followed.  This function may not be </w:t>
      </w:r>
      <w:r w:rsidR="00A44CAD">
        <w:t xml:space="preserve">assigned to </w:t>
      </w:r>
      <w:r>
        <w:t>administering agencies or consultants.</w:t>
      </w:r>
    </w:p>
    <w:p w14:paraId="0724F4DF" w14:textId="0C07754C" w:rsidR="00F51D5A" w:rsidRDefault="00240B19" w:rsidP="00F51D5A">
      <w:pPr>
        <w:pStyle w:val="Bullet10"/>
        <w:numPr>
          <w:ilvl w:val="1"/>
          <w:numId w:val="8"/>
        </w:numPr>
      </w:pPr>
      <w:r>
        <w:rPr>
          <w:u w:val="single"/>
        </w:rPr>
        <w:t>Environmental Officer</w:t>
      </w:r>
      <w:r>
        <w:t>:</w:t>
      </w:r>
      <w:r w:rsidR="00DD6D35">
        <w:t xml:space="preserve"> </w:t>
      </w:r>
      <w:r w:rsidR="000B36CA">
        <w:t>T</w:t>
      </w:r>
      <w:r>
        <w:t xml:space="preserve">his person is </w:t>
      </w:r>
      <w:r w:rsidR="000B36CA">
        <w:t xml:space="preserve">typically </w:t>
      </w:r>
      <w:r>
        <w:t>the grant administrator or the consulting</w:t>
      </w:r>
      <w:r w:rsidR="0014173B">
        <w:t xml:space="preserve"> </w:t>
      </w:r>
      <w:r>
        <w:t>engineer.</w:t>
      </w:r>
      <w:r w:rsidR="0014173B">
        <w:t xml:space="preserve"> </w:t>
      </w:r>
      <w:r>
        <w:t xml:space="preserve">The Environmental Officer will be responsible for writing </w:t>
      </w:r>
      <w:r w:rsidR="00EA5684">
        <w:t xml:space="preserve">the </w:t>
      </w:r>
      <w:r>
        <w:t xml:space="preserve">project narrative, obtaining maps of the project area, soliciting comments from appropriate local, </w:t>
      </w:r>
      <w:proofErr w:type="gramStart"/>
      <w:r>
        <w:t>state</w:t>
      </w:r>
      <w:proofErr w:type="gramEnd"/>
      <w:r>
        <w:t xml:space="preserve"> and federal agencies, and facilitating responses to comments received on the environmental findings.  However, the recipient is responsible for ensuring compliance with NEPA and </w:t>
      </w:r>
      <w:r w:rsidR="0048058A">
        <w:t xml:space="preserve">applicable </w:t>
      </w:r>
      <w:r>
        <w:t>Federal laws and authorities</w:t>
      </w:r>
      <w:r w:rsidR="0048058A">
        <w:t xml:space="preserve">, </w:t>
      </w:r>
      <w:r>
        <w:t xml:space="preserve">for issuing the public notification, for submitting the request for release of funds, when required, and for ensuring the </w:t>
      </w:r>
      <w:r w:rsidR="00EF4A4E">
        <w:t>ERR</w:t>
      </w:r>
      <w:r>
        <w:t xml:space="preserve"> is complete</w:t>
      </w:r>
      <w:r w:rsidR="00F51D5A">
        <w:t>.</w:t>
      </w:r>
    </w:p>
    <w:p w14:paraId="26C79517" w14:textId="77777777" w:rsidR="00A55D9A" w:rsidRDefault="00A55D9A" w:rsidP="004604E6">
      <w:pPr>
        <w:pStyle w:val="Bullet10"/>
        <w:numPr>
          <w:ilvl w:val="0"/>
          <w:numId w:val="0"/>
        </w:numPr>
        <w:ind w:left="720" w:hanging="360"/>
      </w:pPr>
    </w:p>
    <w:p w14:paraId="0C5B1892" w14:textId="77731D3C" w:rsidR="00240B19" w:rsidRDefault="00240B19" w:rsidP="00240B19">
      <w:pPr>
        <w:pStyle w:val="Heading3"/>
      </w:pPr>
      <w:r>
        <w:t>Environmental Review Record</w:t>
      </w:r>
      <w:r w:rsidR="003F30EF">
        <w:t xml:space="preserve"> (ERR)</w:t>
      </w:r>
    </w:p>
    <w:p w14:paraId="1DCA4DB7" w14:textId="0014EA5E" w:rsidR="00240B19" w:rsidRDefault="00240B19" w:rsidP="00240B19">
      <w:pPr>
        <w:pStyle w:val="Normal1"/>
      </w:pPr>
      <w:r>
        <w:t>Each CDBG recipient must prepare and maintain a written record of the environmental review undertaken for each project, including exempt activities such as administrative</w:t>
      </w:r>
      <w:r w:rsidR="000B36CA">
        <w:t xml:space="preserve"> and engineering</w:t>
      </w:r>
      <w:r>
        <w:t xml:space="preserve"> costs.  This written record or file is called the ERR and must be available for public review.</w:t>
      </w:r>
      <w:r w:rsidR="00507CA6">
        <w:t xml:space="preserve"> Electronically maintained ERRs must remain available for public review and monitoring.  However, </w:t>
      </w:r>
      <w:r w:rsidR="00AC7E3B">
        <w:t xml:space="preserve">the State </w:t>
      </w:r>
      <w:r w:rsidR="00507CA6">
        <w:t>still requires a hard copy to be submitted for review</w:t>
      </w:r>
      <w:r w:rsidR="00226733">
        <w:t>.</w:t>
      </w:r>
    </w:p>
    <w:p w14:paraId="7514338E" w14:textId="77777777" w:rsidR="00240B19" w:rsidDel="005708D3" w:rsidRDefault="00240B19" w:rsidP="00240B19">
      <w:pPr>
        <w:pStyle w:val="Normal1"/>
      </w:pPr>
      <w:r>
        <w:t>The ERR must contain the following documents and parts:</w:t>
      </w:r>
    </w:p>
    <w:p w14:paraId="0AC2A4C3" w14:textId="136720F6" w:rsidR="00AC7E3B" w:rsidRDefault="00AC7E3B" w:rsidP="00132ED1">
      <w:pPr>
        <w:pStyle w:val="Bullet10"/>
      </w:pPr>
      <w:r>
        <w:lastRenderedPageBreak/>
        <w:t xml:space="preserve">Description of the project and the activities that make up the project, regardless of individual activity funding source. </w:t>
      </w:r>
      <w:r w:rsidR="00B3768E">
        <w:t xml:space="preserve">To the extent feasible, grantees are encouraged to conduct environmental reviews for improvements to target areas and neighborhoods rather than limiting the assessment to just the activity being </w:t>
      </w:r>
      <w:proofErr w:type="gramStart"/>
      <w:r w:rsidR="00B3768E">
        <w:t>proposed</w:t>
      </w:r>
      <w:proofErr w:type="gramEnd"/>
      <w:r w:rsidR="00B3768E">
        <w:t xml:space="preserve"> or the streets being addressed within a neighborhood. The review may include </w:t>
      </w:r>
      <w:r>
        <w:t xml:space="preserve">all potential activities and phases of investment planned in the </w:t>
      </w:r>
      <w:proofErr w:type="gramStart"/>
      <w:r>
        <w:t>future</w:t>
      </w:r>
      <w:r w:rsidR="00E73095">
        <w:t>;</w:t>
      </w:r>
      <w:proofErr w:type="gramEnd"/>
    </w:p>
    <w:p w14:paraId="2B00C49E" w14:textId="59CF7A25" w:rsidR="00AC7E3B" w:rsidRDefault="00AC7E3B" w:rsidP="00132ED1">
      <w:pPr>
        <w:pStyle w:val="Bullet10"/>
      </w:pPr>
      <w:r>
        <w:t xml:space="preserve">Evaluation of the effects of the project or the activities on the </w:t>
      </w:r>
      <w:hyperlink w:anchor="Human_Env_Def" w:history="1">
        <w:r w:rsidRPr="00F51D5A">
          <w:rPr>
            <w:rStyle w:val="Hyperlink"/>
          </w:rPr>
          <w:t>human environment</w:t>
        </w:r>
      </w:hyperlink>
      <w:r w:rsidR="00E73095">
        <w:t>;</w:t>
      </w:r>
    </w:p>
    <w:p w14:paraId="217F1E84" w14:textId="7B9DCDEC" w:rsidR="00AC7E3B" w:rsidRDefault="00AC7E3B" w:rsidP="00132ED1">
      <w:pPr>
        <w:pStyle w:val="Bullet10"/>
      </w:pPr>
      <w:r>
        <w:t xml:space="preserve">Written determination and other review findings (e.g., exempt and categorically excluded determination, findings of no significant impact), and public notices, when </w:t>
      </w:r>
      <w:proofErr w:type="gramStart"/>
      <w:r>
        <w:t>required</w:t>
      </w:r>
      <w:r w:rsidR="00E73095">
        <w:t>;</w:t>
      </w:r>
      <w:proofErr w:type="gramEnd"/>
    </w:p>
    <w:p w14:paraId="43816AE9" w14:textId="76682693" w:rsidR="00E46278" w:rsidRDefault="00AC7E3B" w:rsidP="00E46278">
      <w:pPr>
        <w:pStyle w:val="Bullet10"/>
      </w:pPr>
      <w:r>
        <w:t xml:space="preserve">Documentation verifying compliance with </w:t>
      </w:r>
      <w:proofErr w:type="gramStart"/>
      <w:r>
        <w:t>NEPA</w:t>
      </w:r>
      <w:proofErr w:type="gramEnd"/>
      <w:r>
        <w:t xml:space="preserve"> and </w:t>
      </w:r>
      <w:r w:rsidR="00C37914">
        <w:t>applicable</w:t>
      </w:r>
      <w:r>
        <w:t xml:space="preserve"> Federal laws and authorities </w:t>
      </w:r>
      <w:r w:rsidR="00C37914">
        <w:t xml:space="preserve">as </w:t>
      </w:r>
      <w:r>
        <w:t xml:space="preserve">cited in </w:t>
      </w:r>
      <w:hyperlink w:anchor="Env_Forms" w:history="1">
        <w:r w:rsidRPr="005D2804">
          <w:rPr>
            <w:rStyle w:val="Hyperlink"/>
          </w:rPr>
          <w:t>compliance checklists, environmental assessments, and environmental impact statements</w:t>
        </w:r>
      </w:hyperlink>
      <w:r w:rsidR="00E73095">
        <w:t>;</w:t>
      </w:r>
    </w:p>
    <w:p w14:paraId="33E1D1EA" w14:textId="26572759" w:rsidR="00B3768E" w:rsidRDefault="00B3768E" w:rsidP="00E46278">
      <w:pPr>
        <w:pStyle w:val="Bullet10"/>
      </w:pPr>
      <w:r>
        <w:t>Notices, when applicable</w:t>
      </w:r>
      <w:r w:rsidR="00E73095">
        <w:t xml:space="preserve">; and </w:t>
      </w:r>
    </w:p>
    <w:p w14:paraId="230AB2C4" w14:textId="7300BAFB" w:rsidR="00240B19" w:rsidRDefault="00E46278" w:rsidP="004604E6">
      <w:pPr>
        <w:pStyle w:val="Bullet10"/>
      </w:pPr>
      <w:r>
        <w:t>Public comments, concerns</w:t>
      </w:r>
      <w:r w:rsidR="00D41150">
        <w:t>,</w:t>
      </w:r>
      <w:r>
        <w:t xml:space="preserve"> and appropriate resolution</w:t>
      </w:r>
      <w:r w:rsidR="00E73095">
        <w:t>.</w:t>
      </w:r>
    </w:p>
    <w:p w14:paraId="2E029A16" w14:textId="0107087D" w:rsidR="00E3325A" w:rsidRDefault="00A55D9A" w:rsidP="004604E6">
      <w:pPr>
        <w:pStyle w:val="Normal1"/>
      </w:pPr>
      <w:r w:rsidRPr="004604E6">
        <w:rPr>
          <w:noProof/>
          <w:highlight w:val="yellow"/>
        </w:rPr>
        <mc:AlternateContent>
          <mc:Choice Requires="wps">
            <w:drawing>
              <wp:anchor distT="0" distB="0" distL="114300" distR="114300" simplePos="0" relativeHeight="251645952" behindDoc="1" locked="0" layoutInCell="1" allowOverlap="1" wp14:anchorId="4A2D19D8" wp14:editId="0FC48600">
                <wp:simplePos x="0" y="0"/>
                <wp:positionH relativeFrom="column">
                  <wp:posOffset>3581400</wp:posOffset>
                </wp:positionH>
                <wp:positionV relativeFrom="paragraph">
                  <wp:posOffset>62865</wp:posOffset>
                </wp:positionV>
                <wp:extent cx="2496820" cy="2171700"/>
                <wp:effectExtent l="0" t="0" r="93980" b="95250"/>
                <wp:wrapTight wrapText="left">
                  <wp:wrapPolygon edited="0">
                    <wp:start x="0" y="0"/>
                    <wp:lineTo x="0" y="21789"/>
                    <wp:lineTo x="330" y="22358"/>
                    <wp:lineTo x="22248" y="22358"/>
                    <wp:lineTo x="22248" y="758"/>
                    <wp:lineTo x="21919" y="0"/>
                    <wp:lineTo x="0" y="0"/>
                  </wp:wrapPolygon>
                </wp:wrapTight>
                <wp:docPr id="9773457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217170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0636D698" w14:textId="77777777" w:rsidR="00836732" w:rsidRPr="00D06AEB" w:rsidRDefault="00836732" w:rsidP="00CD215B">
                            <w:pPr>
                              <w:pStyle w:val="Normal1"/>
                              <w:spacing w:before="0"/>
                              <w:jc w:val="left"/>
                            </w:pPr>
                            <w:r>
                              <w:t xml:space="preserve">A preliminary environmental review including source documentation </w:t>
                            </w:r>
                            <w:r w:rsidRPr="004604E6">
                              <w:rPr>
                                <w:b/>
                                <w:bCs/>
                              </w:rPr>
                              <w:t>must be conducted prior to contacting applicable agencies for comment.</w:t>
                            </w:r>
                            <w:r>
                              <w:t xml:space="preserve">  Agencies must be provided sufficient project information, maps, and source documentation to </w:t>
                            </w:r>
                            <w:proofErr w:type="gramStart"/>
                            <w:r>
                              <w:t>make a determination</w:t>
                            </w:r>
                            <w:proofErr w:type="gramEnd"/>
                            <w:r>
                              <w:t xml:space="preserve"> of compliance with applicable laws.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D19D8" id="_x0000_t202" coordsize="21600,21600" o:spt="202" path="m,l,21600r21600,l21600,xe">
                <v:stroke joinstyle="miter"/>
                <v:path gradientshapeok="t" o:connecttype="rect"/>
              </v:shapetype>
              <v:shape id="Text Box 25" o:spid="_x0000_s1026" type="#_x0000_t202" style="position:absolute;left:0;text-align:left;margin-left:282pt;margin-top:4.95pt;width:196.6pt;height:1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" strokeweight="1.5pt">
                <v:shadow on="t" offset="6pt,6pt"/>
                <v:textbox>
                  <w:txbxContent>
                    <w:p w14:paraId="0636D698" w14:textId="77777777" w:rsidR="00836732" w:rsidRPr="00D06AEB" w:rsidRDefault="00836732" w:rsidP="00CD215B">
                      <w:pPr>
                        <w:pStyle w:val="Normal1"/>
                        <w:spacing w:before="0"/>
                        <w:jc w:val="left"/>
                      </w:pPr>
                      <w:r>
                        <w:t xml:space="preserve">A preliminary environmental review including source documentation </w:t>
                      </w:r>
                      <w:r w:rsidRPr="004604E6">
                        <w:rPr>
                          <w:b/>
                          <w:bCs/>
                        </w:rPr>
                        <w:t>must be conducted prior to contacting applicable agencies for comment.</w:t>
                      </w:r>
                      <w:r>
                        <w:t xml:space="preserve">  Agencies must be provided sufficient project information, maps, and source documentation to make a determination of compliance with applicable laws.</w:t>
                      </w:r>
                    </w:p>
                  </w:txbxContent>
                </v:textbox>
                <w10:wrap type="tight" side="left"/>
              </v:shape>
            </w:pict>
          </mc:Fallback>
        </mc:AlternateContent>
      </w:r>
      <w:r w:rsidR="00240B19">
        <w:t>Keep in mind that, on average, an environmental</w:t>
      </w:r>
      <w:r w:rsidR="00240B19" w:rsidRPr="00F14B76" w:rsidDel="00F14B76">
        <w:t xml:space="preserve"> </w:t>
      </w:r>
      <w:r w:rsidR="00240B19" w:rsidRPr="00F14B76">
        <w:rPr>
          <w:szCs w:val="24"/>
        </w:rPr>
        <w:t xml:space="preserve">assessment for a project </w:t>
      </w:r>
      <w:r w:rsidR="00240B19">
        <w:t>usually takes at least 90 days to complete</w:t>
      </w:r>
      <w:r w:rsidR="00B304F4">
        <w:rPr>
          <w:rStyle w:val="FootnoteReference"/>
        </w:rPr>
        <w:footnoteReference w:id="2"/>
      </w:r>
      <w:r w:rsidR="00FC43B5">
        <w:t>.</w:t>
      </w:r>
    </w:p>
    <w:p w14:paraId="5D516B4B" w14:textId="1B778328" w:rsidR="00E3325A" w:rsidRDefault="006D119A" w:rsidP="006D119A">
      <w:pPr>
        <w:pStyle w:val="Bullet10"/>
        <w:numPr>
          <w:ilvl w:val="0"/>
          <w:numId w:val="0"/>
        </w:numPr>
      </w:pPr>
      <w:r>
        <w:t>In addition to one hard copy of the E</w:t>
      </w:r>
      <w:r w:rsidR="00844296">
        <w:t>RR</w:t>
      </w:r>
      <w:r w:rsidR="00B3768E">
        <w:t>,</w:t>
      </w:r>
      <w:r w:rsidR="00844296">
        <w:t xml:space="preserve"> recipients</w:t>
      </w:r>
      <w:r>
        <w:t xml:space="preserve"> must also submit an </w:t>
      </w:r>
      <w:r>
        <w:rPr>
          <w:b/>
          <w:bCs/>
        </w:rPr>
        <w:t xml:space="preserve">electronic copy </w:t>
      </w:r>
      <w:r>
        <w:t xml:space="preserve">to </w:t>
      </w:r>
      <w:r w:rsidR="00AC7E3B">
        <w:t>the State</w:t>
      </w:r>
      <w:r>
        <w:t xml:space="preserve"> for review. The electronic copy and all email correspondence related to the ERR should be sent to:  </w:t>
      </w:r>
      <w:hyperlink r:id="rId15" w:history="1">
        <w:r w:rsidR="00345AEF" w:rsidRPr="004604E6">
          <w:rPr>
            <w:rStyle w:val="Hyperlink"/>
            <w:b/>
            <w:bCs/>
          </w:rPr>
          <w:t>sc-cdbg@sccommerce.com</w:t>
        </w:r>
      </w:hyperlink>
      <w:r w:rsidR="00E929E1">
        <w:rPr>
          <w:rStyle w:val="Hyperlink"/>
          <w:b/>
          <w:bCs/>
        </w:rPr>
        <w:t xml:space="preserve"> </w:t>
      </w:r>
      <w:r w:rsidR="00345AEF">
        <w:rPr>
          <w:b/>
          <w:bCs/>
          <w:u w:val="single"/>
        </w:rPr>
        <w:t>.</w:t>
      </w:r>
      <w:r>
        <w:t xml:space="preserve"> </w:t>
      </w:r>
      <w:r w:rsidR="00B65F80">
        <w:t xml:space="preserve">No </w:t>
      </w:r>
      <w:r>
        <w:t xml:space="preserve">other CDBG correspondence should be sent to this address. Recipients are required to submit one </w:t>
      </w:r>
      <w:r>
        <w:rPr>
          <w:b/>
        </w:rPr>
        <w:t>original</w:t>
      </w:r>
      <w:r>
        <w:t xml:space="preserve"> Request for Release of Funds and Certification to </w:t>
      </w:r>
      <w:r w:rsidR="00AC7E3B">
        <w:t>the State</w:t>
      </w:r>
      <w:r>
        <w:t>.</w:t>
      </w:r>
    </w:p>
    <w:p w14:paraId="2606CD3C" w14:textId="77777777" w:rsidR="004D5E53" w:rsidRDefault="004D5E53" w:rsidP="004D5E53">
      <w:pPr>
        <w:pStyle w:val="Heading3"/>
      </w:pPr>
      <w:r>
        <w:t>Compliance with Floodplain/Wetlands Requirements</w:t>
      </w:r>
    </w:p>
    <w:p w14:paraId="6DFC4A57" w14:textId="054DF589" w:rsidR="004D5E53" w:rsidRDefault="004D5E53" w:rsidP="004D5E53">
      <w:pPr>
        <w:pStyle w:val="Normal1"/>
        <w:spacing w:before="0"/>
      </w:pPr>
      <w:r>
        <w:t xml:space="preserve">If any activity is proposed to take place in </w:t>
      </w:r>
      <w:r w:rsidR="000119B5">
        <w:t xml:space="preserve">the </w:t>
      </w:r>
      <w:r w:rsidR="00FC28C4">
        <w:t>Federal Flood Risk Management Standard (</w:t>
      </w:r>
      <w:proofErr w:type="gramStart"/>
      <w:r w:rsidR="00FC28C4">
        <w:t xml:space="preserve">FFRMS) </w:t>
      </w:r>
      <w:r>
        <w:t xml:space="preserve"> floodplain</w:t>
      </w:r>
      <w:proofErr w:type="gramEnd"/>
      <w:r>
        <w:t xml:space="preserve"> </w:t>
      </w:r>
      <w:r w:rsidR="00FC28C4">
        <w:t>as defined by E.O. 13690</w:t>
      </w:r>
      <w:r>
        <w:t xml:space="preserve"> or construction in a designated wetland </w:t>
      </w:r>
      <w:r>
        <w:lastRenderedPageBreak/>
        <w:t xml:space="preserve">is proposed, the implementation of a specific decision-making process is required for compliance with Executive Orders </w:t>
      </w:r>
      <w:r w:rsidR="00FC28C4">
        <w:t xml:space="preserve">13690, </w:t>
      </w:r>
      <w:r>
        <w:t xml:space="preserve">11988 and 11990.  This procedure is commonly referred to as the “eight-step process.”  </w:t>
      </w:r>
      <w:r w:rsidR="00315A41">
        <w:t xml:space="preserve">For more information on compliance with Floodplain/Wetlands Requirements, please see </w:t>
      </w:r>
      <w:hyperlink w:anchor="_Appendix_B" w:history="1">
        <w:r w:rsidR="00315A41" w:rsidRPr="00E73095">
          <w:rPr>
            <w:rStyle w:val="Hyperlink"/>
          </w:rPr>
          <w:t>Appendix B</w:t>
        </w:r>
      </w:hyperlink>
      <w:r w:rsidR="00315A41">
        <w:t xml:space="preserve">. </w:t>
      </w:r>
    </w:p>
    <w:p w14:paraId="47B76944" w14:textId="77777777" w:rsidR="004D5E53" w:rsidRDefault="004D5E53" w:rsidP="006D119A">
      <w:pPr>
        <w:pStyle w:val="Bullet10"/>
        <w:numPr>
          <w:ilvl w:val="0"/>
          <w:numId w:val="0"/>
        </w:numPr>
      </w:pPr>
    </w:p>
    <w:p w14:paraId="36908DF9" w14:textId="0A513129" w:rsidR="00240B19" w:rsidRDefault="00240B19" w:rsidP="00240B19">
      <w:pPr>
        <w:pStyle w:val="Heading2"/>
      </w:pPr>
      <w:bookmarkStart w:id="13" w:name="_Section_3:_Actions"/>
      <w:bookmarkEnd w:id="13"/>
      <w:r>
        <w:t xml:space="preserve">Section </w:t>
      </w:r>
      <w:r w:rsidR="00CA4416">
        <w:t>3</w:t>
      </w:r>
      <w:r>
        <w:t>: Actions Triggering Environmental Review and Limitations Pending Clearance</w:t>
      </w:r>
    </w:p>
    <w:p w14:paraId="62A3562F" w14:textId="77777777" w:rsidR="00240B19" w:rsidRPr="007C3AA9" w:rsidRDefault="00240B19" w:rsidP="00240B19">
      <w:pPr>
        <w:pStyle w:val="Heading3"/>
      </w:pPr>
      <w:r w:rsidRPr="007C3AA9">
        <w:t xml:space="preserve">Actions Triggering the Requirements at Part 58 </w:t>
      </w:r>
    </w:p>
    <w:p w14:paraId="2F2E22EA" w14:textId="354977C4" w:rsidR="00240B19" w:rsidRDefault="00240B19" w:rsidP="00240B19">
      <w:pPr>
        <w:pStyle w:val="Normal1"/>
      </w:pPr>
      <w:r w:rsidRPr="00BA5B0A">
        <w:t xml:space="preserve">Once a </w:t>
      </w:r>
      <w:r>
        <w:t xml:space="preserve">recipient </w:t>
      </w:r>
      <w:r w:rsidRPr="00BA5B0A">
        <w:t xml:space="preserve">has </w:t>
      </w:r>
      <w:r w:rsidR="00BE1BA7" w:rsidRPr="00BA5B0A">
        <w:t>applied</w:t>
      </w:r>
      <w:r w:rsidRPr="00BA5B0A">
        <w:t xml:space="preserve"> for </w:t>
      </w:r>
      <w:r>
        <w:t xml:space="preserve">CDBG </w:t>
      </w:r>
      <w:r w:rsidRPr="00BA5B0A">
        <w:t>funds</w:t>
      </w:r>
      <w:r w:rsidR="009D4853">
        <w:t xml:space="preserve"> from the State</w:t>
      </w:r>
      <w:r>
        <w:t xml:space="preserve">, </w:t>
      </w:r>
      <w:r w:rsidRPr="00BA5B0A">
        <w:t xml:space="preserve">Part 58 requirements are applicable to the project.  </w:t>
      </w:r>
      <w:r w:rsidR="00316733">
        <w:t>T</w:t>
      </w:r>
      <w:r w:rsidRPr="00BA5B0A">
        <w:t xml:space="preserve">he </w:t>
      </w:r>
      <w:r>
        <w:t xml:space="preserve">recipient (and any other project participants) </w:t>
      </w:r>
      <w:r w:rsidRPr="004604E6">
        <w:rPr>
          <w:b/>
          <w:bCs/>
        </w:rPr>
        <w:t>must cease all project activity until the environmental review has been completed</w:t>
      </w:r>
      <w:r w:rsidR="003E0AE7" w:rsidRPr="004604E6">
        <w:rPr>
          <w:b/>
          <w:bCs/>
        </w:rPr>
        <w:t xml:space="preserve"> and a determination of environmental clearance has been made</w:t>
      </w:r>
      <w:r w:rsidRPr="004604E6">
        <w:rPr>
          <w:b/>
          <w:bCs/>
        </w:rPr>
        <w:t>.</w:t>
      </w:r>
      <w:r w:rsidRPr="00BA5B0A">
        <w:t xml:space="preserve"> </w:t>
      </w:r>
    </w:p>
    <w:p w14:paraId="17FE3CAF" w14:textId="2A5659F0" w:rsidR="00240B19" w:rsidRPr="00BA5B0A" w:rsidRDefault="00240B19" w:rsidP="00240B19">
      <w:pPr>
        <w:pStyle w:val="Normal1"/>
      </w:pPr>
      <w:r w:rsidRPr="00904524">
        <w:t>Where a</w:t>
      </w:r>
      <w:r>
        <w:t xml:space="preserve"> recipient (or other</w:t>
      </w:r>
      <w:r w:rsidRPr="00904524">
        <w:t xml:space="preserve"> project participant</w:t>
      </w:r>
      <w:r>
        <w:t>)</w:t>
      </w:r>
      <w:r w:rsidRPr="00904524">
        <w:t xml:space="preserve"> has begun a project in good faith as a private project, the State is not precluded from considering a later application for Federal assistance for the project</w:t>
      </w:r>
      <w:r w:rsidR="003E0AE7">
        <w:t xml:space="preserve">. However, </w:t>
      </w:r>
      <w:r w:rsidRPr="00904524">
        <w:t xml:space="preserve">the third party must cease further actions on the project until the environmental review process is completed.  </w:t>
      </w:r>
      <w:r>
        <w:t>Recipients</w:t>
      </w:r>
      <w:r w:rsidRPr="00904524">
        <w:t xml:space="preserve"> may proceed with the project upon receiving approval from the State</w:t>
      </w:r>
      <w:r w:rsidR="003E0AE7">
        <w:t>.</w:t>
      </w:r>
    </w:p>
    <w:p w14:paraId="0F6AB89B" w14:textId="78AC6CDB" w:rsidR="00240B19" w:rsidRPr="00BA5B0A" w:rsidRDefault="00000000" w:rsidP="00240B19">
      <w:pPr>
        <w:pStyle w:val="Normal1"/>
      </w:pPr>
      <w:hyperlink w:anchor="Exempt_act_Def" w:history="1">
        <w:r w:rsidR="003E0AE7" w:rsidRPr="00626BCC">
          <w:rPr>
            <w:rStyle w:val="Hyperlink"/>
          </w:rPr>
          <w:t>Exempt</w:t>
        </w:r>
      </w:hyperlink>
      <w:r w:rsidR="003E0AE7">
        <w:t xml:space="preserve"> and </w:t>
      </w:r>
      <w:hyperlink w:anchor="CENST_Def" w:history="1">
        <w:r w:rsidR="00626BCC" w:rsidRPr="00626BCC">
          <w:rPr>
            <w:rStyle w:val="Hyperlink"/>
          </w:rPr>
          <w:t>C</w:t>
        </w:r>
        <w:r w:rsidR="00B86F2A">
          <w:rPr>
            <w:rStyle w:val="Hyperlink"/>
          </w:rPr>
          <w:t>ategorically Excluded Not Subject To (C</w:t>
        </w:r>
        <w:r w:rsidR="00626BCC" w:rsidRPr="00626BCC">
          <w:rPr>
            <w:rStyle w:val="Hyperlink"/>
          </w:rPr>
          <w:t>E</w:t>
        </w:r>
        <w:r w:rsidR="00E06ADA">
          <w:rPr>
            <w:rStyle w:val="Hyperlink"/>
          </w:rPr>
          <w:t>N</w:t>
        </w:r>
        <w:r w:rsidR="00626BCC" w:rsidRPr="00626BCC">
          <w:rPr>
            <w:rStyle w:val="Hyperlink"/>
          </w:rPr>
          <w:t>ST</w:t>
        </w:r>
      </w:hyperlink>
      <w:r w:rsidR="00A8414E">
        <w:t xml:space="preserve"> </w:t>
      </w:r>
      <w:r w:rsidR="00240B19" w:rsidRPr="00BA5B0A">
        <w:t xml:space="preserve">activities may be undertaken without risking </w:t>
      </w:r>
      <w:r w:rsidR="00240B19">
        <w:t>a violation of</w:t>
      </w:r>
      <w:r w:rsidR="00240B19" w:rsidRPr="00BA5B0A">
        <w:t xml:space="preserve"> requirements of </w:t>
      </w:r>
      <w:r w:rsidR="00626BCC">
        <w:t xml:space="preserve">24 CFR </w:t>
      </w:r>
      <w:r w:rsidR="00240B19" w:rsidRPr="00BA5B0A">
        <w:t>Part 58.</w:t>
      </w:r>
      <w:r w:rsidR="004D6007">
        <w:t xml:space="preserve"> </w:t>
      </w:r>
      <w:r w:rsidR="003E0AE7">
        <w:t>Grantees must document</w:t>
      </w:r>
      <w:r w:rsidR="004D6007">
        <w:t>,</w:t>
      </w:r>
      <w:r w:rsidR="003E0AE7">
        <w:t xml:space="preserve"> in writing</w:t>
      </w:r>
      <w:r w:rsidR="00CE60DC">
        <w:t>,</w:t>
      </w:r>
      <w:r w:rsidR="003E0AE7">
        <w:t xml:space="preserve"> its determination that each activity is exempt or categorically excluded. </w:t>
      </w:r>
      <w:r w:rsidR="00EA30B9">
        <w:t xml:space="preserve">The grantee still must comply with all </w:t>
      </w:r>
      <w:hyperlink r:id="rId16" w:history="1">
        <w:r w:rsidR="00EA30B9" w:rsidRPr="00BD6F8B">
          <w:rPr>
            <w:rStyle w:val="Hyperlink"/>
          </w:rPr>
          <w:t>applicable requirements under section 58.6</w:t>
        </w:r>
      </w:hyperlink>
      <w:r w:rsidR="00EA30B9">
        <w:t>.</w:t>
      </w:r>
    </w:p>
    <w:p w14:paraId="0C38BA2D" w14:textId="0A195D8D" w:rsidR="00240B19" w:rsidRPr="00D06AEB" w:rsidRDefault="00240B19" w:rsidP="00240B19">
      <w:pPr>
        <w:pStyle w:val="Normal1"/>
      </w:pPr>
      <w:r>
        <w:t xml:space="preserve">Activities that have physical impacts or which limit the choice of alternatives </w:t>
      </w:r>
      <w:r w:rsidRPr="00BA5B0A">
        <w:t>cannot be undertaken</w:t>
      </w:r>
      <w:r w:rsidR="003E0AE7">
        <w:t xml:space="preserve"> </w:t>
      </w:r>
      <w:r w:rsidRPr="00BA5B0A">
        <w:t xml:space="preserve">prior to </w:t>
      </w:r>
      <w:r>
        <w:t>obtaining environmental clearance to use CDBG funds</w:t>
      </w:r>
      <w:r w:rsidR="003E0AE7">
        <w:t xml:space="preserve"> even if the activities are being funded by the grantee</w:t>
      </w:r>
      <w:r w:rsidR="00AF0E8E">
        <w:t xml:space="preserve"> or another funding source</w:t>
      </w:r>
      <w:r w:rsidRPr="00BA5B0A">
        <w:t xml:space="preserve">. If prohibited activities are undertaken prior to receiving approval from the </w:t>
      </w:r>
      <w:r>
        <w:t>State</w:t>
      </w:r>
      <w:r w:rsidRPr="00BA5B0A">
        <w:t xml:space="preserve">, the applicant is at risk for the denial of </w:t>
      </w:r>
      <w:r>
        <w:t>CDBG</w:t>
      </w:r>
      <w:r w:rsidRPr="00BA5B0A">
        <w:t xml:space="preserve"> assistance. </w:t>
      </w:r>
      <w:r w:rsidR="00D223C8">
        <w:t>Undertaking prohibited activities at any point in the project</w:t>
      </w:r>
      <w:r>
        <w:t xml:space="preserve"> interfere</w:t>
      </w:r>
      <w:r w:rsidR="00D223C8">
        <w:t>s</w:t>
      </w:r>
      <w:r>
        <w:t xml:space="preserve"> with the State’s ability to comply with NEPA and Part 58.  If prohibited actions are taken prior to environmental clearance, then environmental impacts may have occurred in violation of the Federal laws and authorities and the standard review procedures that ensure compliance. </w:t>
      </w:r>
    </w:p>
    <w:p w14:paraId="774AF5BC" w14:textId="77777777" w:rsidR="00240B19" w:rsidRDefault="00240B19" w:rsidP="00240B19">
      <w:pPr>
        <w:pStyle w:val="Heading3"/>
      </w:pPr>
      <w:r>
        <w:t>Limitations Pending Environmental Clearance</w:t>
      </w:r>
    </w:p>
    <w:p w14:paraId="126AA80F" w14:textId="2472BD20" w:rsidR="00A62A4B" w:rsidRDefault="0025546C" w:rsidP="00293239">
      <w:pPr>
        <w:pStyle w:val="Normal1"/>
        <w:rPr>
          <w:bCs/>
        </w:rPr>
      </w:pPr>
      <w:r>
        <w:t xml:space="preserve">Grantees are </w:t>
      </w:r>
      <w:r w:rsidR="00240B19" w:rsidRPr="00293239">
        <w:t>required to ensure that environmental information is available</w:t>
      </w:r>
      <w:r w:rsidR="00F42482">
        <w:t xml:space="preserve"> to the public and all interested parties</w:t>
      </w:r>
      <w:r w:rsidR="00240B19" w:rsidRPr="00293239">
        <w:t xml:space="preserve"> before decisions are made and before actions are taken.  </w:t>
      </w:r>
      <w:r>
        <w:t>Grantees</w:t>
      </w:r>
      <w:r w:rsidRPr="00293239">
        <w:t xml:space="preserve"> </w:t>
      </w:r>
      <w:r w:rsidR="00240B19" w:rsidRPr="00293239">
        <w:t xml:space="preserve">may not commit or expend resources, either public or private funds </w:t>
      </w:r>
      <w:r w:rsidR="00240B19" w:rsidRPr="00293239">
        <w:lastRenderedPageBreak/>
        <w:t xml:space="preserve">(CDBG, other Federal, or non-Federal funds), or execute a legally binding agreement for property acquisition, </w:t>
      </w:r>
      <w:r w:rsidR="00CB613F" w:rsidRPr="00293239">
        <w:t xml:space="preserve">demolition, </w:t>
      </w:r>
      <w:r w:rsidR="00240B19" w:rsidRPr="00293239">
        <w:t xml:space="preserve">rehabilitation, conversion, </w:t>
      </w:r>
      <w:proofErr w:type="gramStart"/>
      <w:r w:rsidR="00240B19" w:rsidRPr="00293239">
        <w:t>repair</w:t>
      </w:r>
      <w:proofErr w:type="gramEnd"/>
      <w:r w:rsidR="00240B19" w:rsidRPr="00293239">
        <w:t xml:space="preserve"> or construction pertaining to a specific site until environmental clearance has been achieved. </w:t>
      </w:r>
      <w:r w:rsidR="00CB613F" w:rsidRPr="00ED498A">
        <w:rPr>
          <w:b/>
        </w:rPr>
        <w:t>Further,</w:t>
      </w:r>
      <w:r w:rsidR="009A4648" w:rsidRPr="00ED498A">
        <w:rPr>
          <w:b/>
        </w:rPr>
        <w:t xml:space="preserve"> </w:t>
      </w:r>
      <w:r w:rsidR="007C4D15" w:rsidRPr="00ED498A">
        <w:rPr>
          <w:b/>
        </w:rPr>
        <w:t xml:space="preserve">it is HUD policy to not </w:t>
      </w:r>
      <w:r w:rsidR="009C3679" w:rsidRPr="00ED498A">
        <w:rPr>
          <w:b/>
        </w:rPr>
        <w:t>allow bids</w:t>
      </w:r>
      <w:r w:rsidR="007C4D15" w:rsidRPr="00ED498A">
        <w:rPr>
          <w:b/>
        </w:rPr>
        <w:t xml:space="preserve"> for </w:t>
      </w:r>
      <w:hyperlink w:anchor="Choice_limiting_Def" w:history="1">
        <w:r w:rsidR="007C4D15" w:rsidRPr="00ED498A">
          <w:rPr>
            <w:rStyle w:val="Hyperlink"/>
            <w:b/>
          </w:rPr>
          <w:t>choice limiting actions</w:t>
        </w:r>
      </w:hyperlink>
      <w:r w:rsidR="00DE79C7">
        <w:rPr>
          <w:b/>
        </w:rPr>
        <w:t>.</w:t>
      </w:r>
      <w:r w:rsidR="007C4D15" w:rsidRPr="00ED498A">
        <w:rPr>
          <w:b/>
        </w:rPr>
        <w:t xml:space="preserve"> before the environmental review is complete.</w:t>
      </w:r>
      <w:r w:rsidR="007C4D15" w:rsidRPr="00CD215B">
        <w:rPr>
          <w:b/>
        </w:rPr>
        <w:t xml:space="preserve"> </w:t>
      </w:r>
      <w:r w:rsidR="00A62A4B" w:rsidRPr="004604E6">
        <w:rPr>
          <w:bCs/>
        </w:rPr>
        <w:t xml:space="preserve">Choice </w:t>
      </w:r>
      <w:r w:rsidR="004A57B9">
        <w:rPr>
          <w:bCs/>
        </w:rPr>
        <w:t>l</w:t>
      </w:r>
      <w:r w:rsidR="00A62A4B" w:rsidRPr="004604E6">
        <w:rPr>
          <w:bCs/>
        </w:rPr>
        <w:t xml:space="preserve">imiting </w:t>
      </w:r>
      <w:r w:rsidR="004A57B9">
        <w:rPr>
          <w:bCs/>
        </w:rPr>
        <w:t>a</w:t>
      </w:r>
      <w:r w:rsidR="00A62A4B" w:rsidRPr="004604E6">
        <w:rPr>
          <w:bCs/>
        </w:rPr>
        <w:t>ctions include but are not limited to:</w:t>
      </w:r>
    </w:p>
    <w:p w14:paraId="18FD6D1C" w14:textId="0E977424" w:rsidR="00A62A4B" w:rsidRPr="004604E6" w:rsidRDefault="00DE79C7" w:rsidP="00A62A4B">
      <w:pPr>
        <w:pStyle w:val="bullet30"/>
        <w:numPr>
          <w:ilvl w:val="0"/>
          <w:numId w:val="3"/>
        </w:numPr>
        <w:rPr>
          <w:sz w:val="24"/>
          <w:szCs w:val="22"/>
        </w:rPr>
      </w:pPr>
      <w:proofErr w:type="gramStart"/>
      <w:r w:rsidRPr="004604E6">
        <w:rPr>
          <w:sz w:val="24"/>
          <w:szCs w:val="22"/>
        </w:rPr>
        <w:t>Acquisition</w:t>
      </w:r>
      <w:r w:rsidR="00E73095">
        <w:rPr>
          <w:sz w:val="24"/>
          <w:szCs w:val="22"/>
        </w:rPr>
        <w:t>;</w:t>
      </w:r>
      <w:proofErr w:type="gramEnd"/>
    </w:p>
    <w:p w14:paraId="304B1FF3" w14:textId="72849501" w:rsidR="00DE79C7" w:rsidRPr="004604E6" w:rsidRDefault="00DE79C7" w:rsidP="00A62A4B">
      <w:pPr>
        <w:pStyle w:val="bullet30"/>
        <w:numPr>
          <w:ilvl w:val="0"/>
          <w:numId w:val="3"/>
        </w:numPr>
        <w:rPr>
          <w:sz w:val="24"/>
          <w:szCs w:val="22"/>
        </w:rPr>
      </w:pPr>
      <w:proofErr w:type="gramStart"/>
      <w:r w:rsidRPr="004604E6">
        <w:rPr>
          <w:sz w:val="24"/>
          <w:szCs w:val="22"/>
        </w:rPr>
        <w:t>Leasing</w:t>
      </w:r>
      <w:r w:rsidR="00E73095">
        <w:rPr>
          <w:sz w:val="24"/>
          <w:szCs w:val="22"/>
        </w:rPr>
        <w:t>;</w:t>
      </w:r>
      <w:proofErr w:type="gramEnd"/>
    </w:p>
    <w:p w14:paraId="62AF764E" w14:textId="341F61F5" w:rsidR="00DE79C7" w:rsidRPr="004604E6" w:rsidRDefault="00DE79C7" w:rsidP="00A62A4B">
      <w:pPr>
        <w:pStyle w:val="bullet30"/>
        <w:numPr>
          <w:ilvl w:val="0"/>
          <w:numId w:val="3"/>
        </w:numPr>
        <w:rPr>
          <w:sz w:val="24"/>
          <w:szCs w:val="22"/>
        </w:rPr>
      </w:pPr>
      <w:proofErr w:type="gramStart"/>
      <w:r w:rsidRPr="004604E6">
        <w:rPr>
          <w:sz w:val="24"/>
          <w:szCs w:val="22"/>
        </w:rPr>
        <w:t>Rehabilitation</w:t>
      </w:r>
      <w:r w:rsidR="00E73095">
        <w:rPr>
          <w:sz w:val="24"/>
          <w:szCs w:val="22"/>
        </w:rPr>
        <w:t>;</w:t>
      </w:r>
      <w:proofErr w:type="gramEnd"/>
    </w:p>
    <w:p w14:paraId="5B625C50" w14:textId="5AC3736D" w:rsidR="00DE79C7" w:rsidRPr="004604E6" w:rsidRDefault="00DE79C7" w:rsidP="00A62A4B">
      <w:pPr>
        <w:pStyle w:val="bullet30"/>
        <w:numPr>
          <w:ilvl w:val="0"/>
          <w:numId w:val="3"/>
        </w:numPr>
        <w:rPr>
          <w:sz w:val="24"/>
          <w:szCs w:val="22"/>
        </w:rPr>
      </w:pPr>
      <w:proofErr w:type="gramStart"/>
      <w:r w:rsidRPr="004604E6">
        <w:rPr>
          <w:sz w:val="24"/>
          <w:szCs w:val="22"/>
        </w:rPr>
        <w:t>Demolition</w:t>
      </w:r>
      <w:r w:rsidR="00E73095">
        <w:rPr>
          <w:sz w:val="24"/>
          <w:szCs w:val="22"/>
        </w:rPr>
        <w:t>;</w:t>
      </w:r>
      <w:proofErr w:type="gramEnd"/>
    </w:p>
    <w:p w14:paraId="6C3F78F4" w14:textId="3DA90D5A" w:rsidR="00DE79C7" w:rsidRPr="004604E6" w:rsidRDefault="00FF0EEE" w:rsidP="00A62A4B">
      <w:pPr>
        <w:pStyle w:val="bullet30"/>
        <w:numPr>
          <w:ilvl w:val="0"/>
          <w:numId w:val="3"/>
        </w:numPr>
        <w:rPr>
          <w:sz w:val="24"/>
          <w:szCs w:val="22"/>
        </w:rPr>
      </w:pPr>
      <w:r>
        <w:rPr>
          <w:noProof/>
          <w:sz w:val="20"/>
          <w:u w:val="single"/>
        </w:rPr>
        <mc:AlternateContent>
          <mc:Choice Requires="wps">
            <w:drawing>
              <wp:anchor distT="0" distB="0" distL="114300" distR="114300" simplePos="0" relativeHeight="251672576" behindDoc="1" locked="0" layoutInCell="1" allowOverlap="1" wp14:anchorId="00C24CAE" wp14:editId="19720319">
                <wp:simplePos x="0" y="0"/>
                <wp:positionH relativeFrom="margin">
                  <wp:align>right</wp:align>
                </wp:positionH>
                <wp:positionV relativeFrom="paragraph">
                  <wp:posOffset>-1514128</wp:posOffset>
                </wp:positionV>
                <wp:extent cx="2334895" cy="2647950"/>
                <wp:effectExtent l="0" t="0" r="103505" b="95250"/>
                <wp:wrapTight wrapText="left">
                  <wp:wrapPolygon edited="0">
                    <wp:start x="0" y="0"/>
                    <wp:lineTo x="0" y="21755"/>
                    <wp:lineTo x="352" y="22222"/>
                    <wp:lineTo x="22381" y="22222"/>
                    <wp:lineTo x="22381" y="622"/>
                    <wp:lineTo x="22029" y="0"/>
                    <wp:lineTo x="0" y="0"/>
                  </wp:wrapPolygon>
                </wp:wrapTight>
                <wp:docPr id="7544337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264795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333F5FC7" w14:textId="77777777" w:rsidR="00FF0EEE" w:rsidRPr="000145AA" w:rsidRDefault="00FF0EEE" w:rsidP="00FF0EEE">
                            <w:pPr>
                              <w:pStyle w:val="Normal1"/>
                              <w:jc w:val="left"/>
                            </w:pPr>
                            <w:r w:rsidRPr="004604E6">
                              <w:rPr>
                                <w:b/>
                                <w:bCs/>
                              </w:rPr>
                              <w:t xml:space="preserve">CDBG funds may </w:t>
                            </w:r>
                            <w:r w:rsidRPr="004604E6">
                              <w:rPr>
                                <w:b/>
                                <w:bCs/>
                                <w:u w:val="single"/>
                              </w:rPr>
                              <w:t>not</w:t>
                            </w:r>
                            <w:r w:rsidRPr="004604E6">
                              <w:rPr>
                                <w:b/>
                                <w:bCs/>
                              </w:rPr>
                              <w:t xml:space="preserve"> be obligated for acquisition or construction activities prior to receiving ERR approval from the State.</w:t>
                            </w:r>
                            <w:r w:rsidRPr="000145AA">
                              <w:t xml:space="preserve">  Recipients </w:t>
                            </w:r>
                            <w:r w:rsidRPr="00436E37">
                              <w:t>and participants in the development process</w:t>
                            </w:r>
                            <w:r w:rsidRPr="000145AA">
                              <w:rPr>
                                <w:color w:val="0000FF"/>
                              </w:rPr>
                              <w:t xml:space="preserve"> </w:t>
                            </w:r>
                            <w:r w:rsidRPr="000145AA">
                              <w:t>who fail to adhere to environmental requirements may have all project costs disallowed</w:t>
                            </w:r>
                            <w:r w:rsidRPr="00436E37">
                              <w:t>.  Recipients</w:t>
                            </w:r>
                            <w:r>
                              <w:rPr>
                                <w:color w:val="0000FF"/>
                              </w:rPr>
                              <w:t xml:space="preserve"> </w:t>
                            </w:r>
                            <w:r w:rsidRPr="000145AA">
                              <w:t xml:space="preserve">may be required to reimburse </w:t>
                            </w:r>
                            <w:r>
                              <w:t xml:space="preserve">the State </w:t>
                            </w:r>
                            <w:r w:rsidRPr="000145AA">
                              <w:t>for any CDBG funds expended.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4CAE" id="Text Box 28" o:spid="_x0000_s1027" type="#_x0000_t202" style="position:absolute;left:0;text-align:left;margin-left:132.65pt;margin-top:-119.2pt;width:183.85pt;height:208.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" strokeweight="1.5pt">
                <v:shadow on="t" offset="6pt,6pt"/>
                <v:textbox>
                  <w:txbxContent>
                    <w:p w14:paraId="333F5FC7" w14:textId="77777777" w:rsidR="00FF0EEE" w:rsidRPr="000145AA" w:rsidRDefault="00FF0EEE" w:rsidP="00FF0EEE">
                      <w:pPr>
                        <w:pStyle w:val="Normal1"/>
                        <w:jc w:val="left"/>
                      </w:pPr>
                      <w:r w:rsidRPr="004604E6">
                        <w:rPr>
                          <w:b/>
                          <w:bCs/>
                        </w:rPr>
                        <w:t xml:space="preserve">CDBG funds may </w:t>
                      </w:r>
                      <w:r w:rsidRPr="004604E6">
                        <w:rPr>
                          <w:b/>
                          <w:bCs/>
                          <w:u w:val="single"/>
                        </w:rPr>
                        <w:t>not</w:t>
                      </w:r>
                      <w:r w:rsidRPr="004604E6">
                        <w:rPr>
                          <w:b/>
                          <w:bCs/>
                        </w:rPr>
                        <w:t xml:space="preserve"> be obligated for acquisition or construction activities prior to receiving ERR approval from the State.</w:t>
                      </w:r>
                      <w:r w:rsidRPr="000145AA">
                        <w:t xml:space="preserve">  Recipients </w:t>
                      </w:r>
                      <w:r w:rsidRPr="00436E37">
                        <w:t>and participants in the development process</w:t>
                      </w:r>
                      <w:r w:rsidRPr="000145AA">
                        <w:rPr>
                          <w:color w:val="0000FF"/>
                        </w:rPr>
                        <w:t xml:space="preserve"> </w:t>
                      </w:r>
                      <w:r w:rsidRPr="000145AA">
                        <w:t>who fail to adhere to environmental requirements may have all project costs disallowed</w:t>
                      </w:r>
                      <w:r w:rsidRPr="00436E37">
                        <w:t>.  Recipients</w:t>
                      </w:r>
                      <w:r>
                        <w:rPr>
                          <w:color w:val="0000FF"/>
                        </w:rPr>
                        <w:t xml:space="preserve"> </w:t>
                      </w:r>
                      <w:r w:rsidRPr="000145AA">
                        <w:t xml:space="preserve">may be required to reimburse </w:t>
                      </w:r>
                      <w:r>
                        <w:t xml:space="preserve">the State </w:t>
                      </w:r>
                      <w:r w:rsidRPr="000145AA">
                        <w:t>for any CDBG funds expended.</w:t>
                      </w:r>
                    </w:p>
                  </w:txbxContent>
                </v:textbox>
                <w10:wrap type="tight" side="left" anchorx="margin"/>
              </v:shape>
            </w:pict>
          </mc:Fallback>
        </mc:AlternateContent>
      </w:r>
      <w:r w:rsidR="00DE79C7" w:rsidRPr="004604E6">
        <w:rPr>
          <w:sz w:val="24"/>
          <w:szCs w:val="22"/>
        </w:rPr>
        <w:t>New construction</w:t>
      </w:r>
      <w:r w:rsidR="00E73095">
        <w:rPr>
          <w:sz w:val="24"/>
          <w:szCs w:val="22"/>
        </w:rPr>
        <w:t>; and</w:t>
      </w:r>
    </w:p>
    <w:p w14:paraId="78D3E759" w14:textId="62C1BE29" w:rsidR="00003C9E" w:rsidRPr="004604E6" w:rsidRDefault="00DE79C7" w:rsidP="004604E6">
      <w:pPr>
        <w:pStyle w:val="bullet30"/>
        <w:numPr>
          <w:ilvl w:val="0"/>
          <w:numId w:val="3"/>
        </w:numPr>
        <w:rPr>
          <w:szCs w:val="22"/>
        </w:rPr>
      </w:pPr>
      <w:r w:rsidRPr="004604E6">
        <w:rPr>
          <w:sz w:val="24"/>
          <w:szCs w:val="22"/>
        </w:rPr>
        <w:t>Ground disturbance work</w:t>
      </w:r>
      <w:r w:rsidR="00E73095">
        <w:rPr>
          <w:sz w:val="24"/>
          <w:szCs w:val="22"/>
        </w:rPr>
        <w:t>.</w:t>
      </w:r>
    </w:p>
    <w:p w14:paraId="11C21FA4" w14:textId="2682442C" w:rsidR="007C4D15" w:rsidRPr="00293239" w:rsidRDefault="007C4D15" w:rsidP="00293239">
      <w:pPr>
        <w:pStyle w:val="Normal1"/>
      </w:pPr>
      <w:r w:rsidRPr="00293239">
        <w:t>The environmental review must be completed before bidding to allow for an unprejudiced decision about the action</w:t>
      </w:r>
      <w:r w:rsidR="003F0AAD">
        <w:t>,</w:t>
      </w:r>
      <w:r w:rsidRPr="00293239">
        <w:t xml:space="preserve"> and to allow for any modifications or project cancellation based upon the environmental review. </w:t>
      </w:r>
    </w:p>
    <w:p w14:paraId="5F44913F" w14:textId="033E216E" w:rsidR="00240B19" w:rsidRDefault="00240B19" w:rsidP="007C4D15">
      <w:pPr>
        <w:pStyle w:val="Normal1"/>
      </w:pPr>
      <w:r w:rsidRPr="007C4D15">
        <w:t>In</w:t>
      </w:r>
      <w:r>
        <w:t xml:space="preserve"> other words, recipients must avoid </w:t>
      </w:r>
      <w:r w:rsidR="00BE1BA7">
        <w:t>all</w:t>
      </w:r>
      <w:r>
        <w:t xml:space="preserve"> actions that would preclude the selection of alternative choices before a final decision is made---that decision being based upon an understanding of the environmental consequences, and actions that can protect, restore, and enhance the </w:t>
      </w:r>
      <w:hyperlink w:anchor="Human_Env_Def" w:history="1">
        <w:r w:rsidRPr="00F51D5A">
          <w:rPr>
            <w:rStyle w:val="Hyperlink"/>
          </w:rPr>
          <w:t>human environment</w:t>
        </w:r>
      </w:hyperlink>
      <w:r>
        <w:t>.</w:t>
      </w:r>
    </w:p>
    <w:p w14:paraId="64850057" w14:textId="61788347" w:rsidR="00240B19" w:rsidRDefault="00240B19" w:rsidP="00240B19">
      <w:pPr>
        <w:pStyle w:val="Normal1"/>
        <w:rPr>
          <w:szCs w:val="22"/>
        </w:rPr>
      </w:pPr>
      <w:r>
        <w:rPr>
          <w:szCs w:val="22"/>
        </w:rPr>
        <w:t xml:space="preserve">In order to achieve this objective, </w:t>
      </w:r>
      <w:r w:rsidR="002C3BE3">
        <w:rPr>
          <w:szCs w:val="22"/>
        </w:rPr>
        <w:t xml:space="preserve">24 CFR </w:t>
      </w:r>
      <w:r>
        <w:rPr>
          <w:szCs w:val="22"/>
        </w:rPr>
        <w:t xml:space="preserve">Part 58 prohibits the </w:t>
      </w:r>
      <w:hyperlink w:anchor="Commit_of_funds_Def" w:history="1">
        <w:r w:rsidRPr="007A24F2">
          <w:rPr>
            <w:rStyle w:val="Hyperlink"/>
            <w:szCs w:val="22"/>
          </w:rPr>
          <w:t>commitment of CDBG funds</w:t>
        </w:r>
      </w:hyperlink>
      <w:r>
        <w:rPr>
          <w:szCs w:val="22"/>
        </w:rPr>
        <w:t xml:space="preserve"> by the State or its recipients until the environmental review process has been completed and </w:t>
      </w:r>
      <w:r w:rsidR="002A7037">
        <w:rPr>
          <w:szCs w:val="22"/>
        </w:rPr>
        <w:t xml:space="preserve">the </w:t>
      </w:r>
      <w:r w:rsidR="00B93BAF">
        <w:rPr>
          <w:szCs w:val="22"/>
        </w:rPr>
        <w:t xml:space="preserve">State </w:t>
      </w:r>
      <w:r w:rsidR="002A7037">
        <w:rPr>
          <w:szCs w:val="22"/>
        </w:rPr>
        <w:t xml:space="preserve">has approved the </w:t>
      </w:r>
      <w:r>
        <w:rPr>
          <w:szCs w:val="22"/>
        </w:rPr>
        <w:t xml:space="preserve">release </w:t>
      </w:r>
      <w:r w:rsidRPr="00BA5B0A">
        <w:rPr>
          <w:szCs w:val="22"/>
        </w:rPr>
        <w:t xml:space="preserve">of funds approval, when required. Moreover, until the </w:t>
      </w:r>
      <w:r>
        <w:rPr>
          <w:szCs w:val="22"/>
        </w:rPr>
        <w:t>recipient</w:t>
      </w:r>
      <w:r w:rsidRPr="00BA5B0A">
        <w:rPr>
          <w:szCs w:val="22"/>
        </w:rPr>
        <w:t xml:space="preserve"> has completed the environmental review process (and until receipt of </w:t>
      </w:r>
      <w:r w:rsidR="00B93BAF">
        <w:rPr>
          <w:szCs w:val="22"/>
        </w:rPr>
        <w:t>State</w:t>
      </w:r>
      <w:r w:rsidR="002A7037">
        <w:rPr>
          <w:szCs w:val="22"/>
        </w:rPr>
        <w:t xml:space="preserve"> </w:t>
      </w:r>
      <w:r w:rsidRPr="00BA5B0A">
        <w:rPr>
          <w:szCs w:val="22"/>
        </w:rPr>
        <w:t>approval),</w:t>
      </w:r>
      <w:r>
        <w:rPr>
          <w:szCs w:val="22"/>
        </w:rPr>
        <w:t xml:space="preserve"> neither the recipient nor project participant may commit non-HUD funds or undertake an activity if that action would have an adverse environmental impact or limit the choice of reasonable alternatives.</w:t>
      </w:r>
    </w:p>
    <w:p w14:paraId="2A511537" w14:textId="6B66DA00" w:rsidR="00240B19" w:rsidRDefault="0076218D" w:rsidP="00240B19">
      <w:pPr>
        <w:pStyle w:val="Heading2"/>
      </w:pPr>
      <w:bookmarkStart w:id="14" w:name="_Section_4_–"/>
      <w:bookmarkEnd w:id="14"/>
      <w:r>
        <w:t>S</w:t>
      </w:r>
      <w:r w:rsidR="00240B19">
        <w:t xml:space="preserve">ection </w:t>
      </w:r>
      <w:r w:rsidR="00CA4416">
        <w:t>4</w:t>
      </w:r>
      <w:r w:rsidR="00240B19">
        <w:t xml:space="preserve"> – Classifying the Activity and Conducting the Appropriate Level of Review </w:t>
      </w:r>
    </w:p>
    <w:p w14:paraId="03A7A3C5" w14:textId="5C4EACCF" w:rsidR="00240B19" w:rsidRDefault="00240B19" w:rsidP="00240B19">
      <w:pPr>
        <w:pStyle w:val="Normal1"/>
      </w:pPr>
      <w:r>
        <w:t>To begin the Environmental Review process, funding recipients must first determine the environmental classification of each activity of the project</w:t>
      </w:r>
      <w:r w:rsidR="002F3335">
        <w:t>.</w:t>
      </w:r>
      <w:r w:rsidRPr="00F14B76">
        <w:t xml:space="preserve"> If the</w:t>
      </w:r>
      <w:r>
        <w:t xml:space="preserve"> various activities have different classifications, the recipient must follow the review steps required for the most stringent classification. This chapter will focus upon the four environmental classifications that are recognized under the CDBG program:</w:t>
      </w:r>
    </w:p>
    <w:p w14:paraId="5142664D" w14:textId="5148568B" w:rsidR="00240B19" w:rsidRPr="0049058C" w:rsidRDefault="00240B19" w:rsidP="00F90DBB">
      <w:pPr>
        <w:pStyle w:val="Bullet10"/>
        <w:spacing w:after="60"/>
      </w:pPr>
      <w:r>
        <w:lastRenderedPageBreak/>
        <w:t xml:space="preserve">Exempt </w:t>
      </w:r>
      <w:proofErr w:type="gramStart"/>
      <w:r>
        <w:t>Activities</w:t>
      </w:r>
      <w:r w:rsidR="00E73095">
        <w:t>;</w:t>
      </w:r>
      <w:proofErr w:type="gramEnd"/>
    </w:p>
    <w:p w14:paraId="7B5B787A" w14:textId="5F2CE810" w:rsidR="00240B19" w:rsidRPr="0049058C" w:rsidRDefault="00240B19" w:rsidP="00F90DBB">
      <w:pPr>
        <w:pStyle w:val="Bullet10"/>
        <w:spacing w:after="60"/>
      </w:pPr>
      <w:r>
        <w:t xml:space="preserve">Categorically Excluded </w:t>
      </w:r>
      <w:proofErr w:type="gramStart"/>
      <w:r>
        <w:t>Activities</w:t>
      </w:r>
      <w:r w:rsidR="00E73095">
        <w:t>;</w:t>
      </w:r>
      <w:proofErr w:type="gramEnd"/>
    </w:p>
    <w:p w14:paraId="6B797F65" w14:textId="3307E6E1" w:rsidR="00B945E5" w:rsidRPr="0049058C" w:rsidRDefault="00240B19" w:rsidP="00F90DBB">
      <w:pPr>
        <w:pStyle w:val="Bullet10"/>
        <w:spacing w:after="60"/>
      </w:pPr>
      <w:r>
        <w:t>Activities Requiring an Environment Assessment</w:t>
      </w:r>
      <w:r w:rsidR="00E73095">
        <w:t>; and</w:t>
      </w:r>
    </w:p>
    <w:p w14:paraId="56CAE915" w14:textId="57EACC08" w:rsidR="00DD492F" w:rsidRDefault="00240B19" w:rsidP="004604E6">
      <w:pPr>
        <w:pStyle w:val="Bullet10"/>
        <w:spacing w:after="60"/>
      </w:pPr>
      <w:r w:rsidRPr="0049058C">
        <w:t>Activities Requiring an Environmental Impact Statement</w:t>
      </w:r>
      <w:r w:rsidR="00E73095">
        <w:t>.</w:t>
      </w:r>
    </w:p>
    <w:p w14:paraId="66CEC2F2" w14:textId="65A24391" w:rsidR="00DD492F" w:rsidRDefault="00DD492F" w:rsidP="00DD492F">
      <w:pPr>
        <w:pStyle w:val="Bullet10"/>
        <w:numPr>
          <w:ilvl w:val="0"/>
          <w:numId w:val="0"/>
        </w:numPr>
        <w:spacing w:after="60"/>
      </w:pPr>
    </w:p>
    <w:p w14:paraId="1C1907BC" w14:textId="5BF355B6" w:rsidR="00DD492F" w:rsidRDefault="00DD492F" w:rsidP="00240B19">
      <w:pPr>
        <w:pStyle w:val="Normal1"/>
      </w:pPr>
      <w:r>
        <w:t>Determining the classification is the responsibility of the CDBG recipient.  To do this, the Environmental Officer must list all the activities associated with the project, review the information contained within this chapter, and match each activity to the appropriate classification.</w:t>
      </w:r>
    </w:p>
    <w:p w14:paraId="01190F57" w14:textId="0098FE08" w:rsidR="00240B19" w:rsidRPr="00F14B76" w:rsidRDefault="00240B19" w:rsidP="00240B19">
      <w:pPr>
        <w:pStyle w:val="Normal1"/>
      </w:pPr>
      <w:r>
        <w:t>Occasionally</w:t>
      </w:r>
      <w:r w:rsidR="008A55FC">
        <w:t>,</w:t>
      </w:r>
      <w:r>
        <w:t xml:space="preserve"> projects funded under the CDBG program entail more than one activity.  For example</w:t>
      </w:r>
      <w:r w:rsidR="00AF0E8E">
        <w:t>,</w:t>
      </w:r>
      <w:r>
        <w:t xml:space="preserve"> a new wastewater treatment plant project would have both administrative and construction related activities.  The administrative activities would be considered exempt whereas the construction related activities would require an environmental assessment, or possibly </w:t>
      </w:r>
      <w:r w:rsidR="0072288B">
        <w:t xml:space="preserve">an </w:t>
      </w:r>
      <w:r>
        <w:t>environmental impact statement.</w:t>
      </w:r>
      <w:r w:rsidR="002C744E">
        <w:t xml:space="preserve"> </w:t>
      </w:r>
      <w:r>
        <w:t xml:space="preserve">Regardless of the number of activities associated with a project, </w:t>
      </w:r>
      <w:r w:rsidR="00A6481A">
        <w:t xml:space="preserve">only </w:t>
      </w:r>
      <w:r>
        <w:t>a single envir</w:t>
      </w:r>
      <w:r w:rsidR="00396403">
        <w:t xml:space="preserve">onmental review is required.  </w:t>
      </w:r>
      <w:r w:rsidRPr="00F14B76">
        <w:t xml:space="preserve">Aggregating related activities ensures the recipient adequately addresses and analyzes the separate and combined impacts of a proposed project.  </w:t>
      </w:r>
    </w:p>
    <w:p w14:paraId="47C3BD5A" w14:textId="7D38344A" w:rsidR="001A0725" w:rsidRDefault="00240B19" w:rsidP="001A0725">
      <w:pPr>
        <w:pStyle w:val="Normal1"/>
      </w:pPr>
      <w:r>
        <w:t>The following table has been developed to assist with the classification of activities.  However, the funding recipient is advised to read the regulations listed under the exempt, categorically excluded (“subject to” or “not subject to” Sec. 58.5)</w:t>
      </w:r>
      <w:r w:rsidR="00C00AAB">
        <w:t>,</w:t>
      </w:r>
      <w:r>
        <w:t xml:space="preserve"> and environmental assessment activity sections of this chapter for more detail.</w:t>
      </w:r>
      <w:r w:rsidR="001A0725">
        <w:t xml:space="preserve"> If </w:t>
      </w:r>
      <w:r w:rsidR="00361E3A">
        <w:t>a grantee</w:t>
      </w:r>
      <w:r w:rsidR="001A0725">
        <w:t xml:space="preserve"> </w:t>
      </w:r>
      <w:r w:rsidR="00361E3A">
        <w:t>is</w:t>
      </w:r>
      <w:r w:rsidR="001A0725">
        <w:t xml:space="preserve"> unsure of what activities your project entails, contact </w:t>
      </w:r>
      <w:r w:rsidR="0045747C">
        <w:t>the State</w:t>
      </w:r>
      <w:r w:rsidR="001A0725">
        <w:t xml:space="preserve"> to clarify.</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130"/>
      </w:tblGrid>
      <w:tr w:rsidR="00D06AEB" w14:paraId="07DB070C" w14:textId="77777777" w:rsidTr="004604E6">
        <w:trPr>
          <w:tblHeader/>
        </w:trPr>
        <w:tc>
          <w:tcPr>
            <w:tcW w:w="4248" w:type="dxa"/>
            <w:shd w:val="pct12" w:color="auto" w:fill="FFFFFF"/>
          </w:tcPr>
          <w:p w14:paraId="500CCBC5" w14:textId="6AFD10C0" w:rsidR="00D06AEB" w:rsidRPr="00FA53BB" w:rsidRDefault="00D06AEB" w:rsidP="00FA53BB">
            <w:pPr>
              <w:pStyle w:val="Heading4"/>
              <w:rPr>
                <w:sz w:val="22"/>
                <w:szCs w:val="22"/>
              </w:rPr>
            </w:pPr>
            <w:r w:rsidRPr="00FA53BB">
              <w:rPr>
                <w:sz w:val="22"/>
                <w:szCs w:val="22"/>
              </w:rPr>
              <w:t>Activity</w:t>
            </w:r>
          </w:p>
        </w:tc>
        <w:tc>
          <w:tcPr>
            <w:tcW w:w="5130" w:type="dxa"/>
            <w:shd w:val="pct12" w:color="auto" w:fill="FFFFFF"/>
          </w:tcPr>
          <w:p w14:paraId="15F234A9" w14:textId="77777777" w:rsidR="00D06AEB" w:rsidRPr="00FA53BB" w:rsidRDefault="00D06AEB" w:rsidP="00FA53BB">
            <w:pPr>
              <w:pStyle w:val="Heading4"/>
              <w:rPr>
                <w:sz w:val="22"/>
                <w:szCs w:val="22"/>
              </w:rPr>
            </w:pPr>
            <w:r w:rsidRPr="00FA53BB">
              <w:rPr>
                <w:sz w:val="22"/>
                <w:szCs w:val="22"/>
              </w:rPr>
              <w:t>Classification</w:t>
            </w:r>
          </w:p>
        </w:tc>
      </w:tr>
      <w:tr w:rsidR="00D06AEB" w14:paraId="66D4D645" w14:textId="77777777" w:rsidTr="004604E6">
        <w:tc>
          <w:tcPr>
            <w:tcW w:w="4248" w:type="dxa"/>
          </w:tcPr>
          <w:p w14:paraId="78AA0E0E" w14:textId="5F165CBD" w:rsidR="00D06AEB" w:rsidRPr="00FA53BB" w:rsidRDefault="00D06AEB" w:rsidP="00FA53BB">
            <w:pPr>
              <w:pStyle w:val="Normal1"/>
              <w:jc w:val="left"/>
              <w:rPr>
                <w:sz w:val="22"/>
                <w:szCs w:val="22"/>
              </w:rPr>
            </w:pPr>
            <w:r w:rsidRPr="00FA53BB">
              <w:rPr>
                <w:sz w:val="22"/>
                <w:szCs w:val="22"/>
              </w:rPr>
              <w:t>Acquisition/Disposition</w:t>
            </w:r>
            <w:r w:rsidR="00183D5C">
              <w:rPr>
                <w:sz w:val="22"/>
                <w:szCs w:val="22"/>
              </w:rPr>
              <w:t xml:space="preserve"> </w:t>
            </w:r>
          </w:p>
        </w:tc>
        <w:tc>
          <w:tcPr>
            <w:tcW w:w="5130" w:type="dxa"/>
          </w:tcPr>
          <w:p w14:paraId="2EEA1FDB" w14:textId="77777777" w:rsidR="00D06AEB" w:rsidRPr="00FA53BB" w:rsidRDefault="00D06AEB" w:rsidP="00FA53BB">
            <w:pPr>
              <w:pStyle w:val="Normal1"/>
              <w:jc w:val="left"/>
              <w:rPr>
                <w:sz w:val="22"/>
                <w:szCs w:val="22"/>
              </w:rPr>
            </w:pPr>
            <w:r w:rsidRPr="00FA53BB">
              <w:rPr>
                <w:sz w:val="22"/>
                <w:szCs w:val="22"/>
              </w:rPr>
              <w:t>Categorica</w:t>
            </w:r>
            <w:r w:rsidR="00FA53BB" w:rsidRPr="00FA53BB">
              <w:rPr>
                <w:sz w:val="22"/>
                <w:szCs w:val="22"/>
              </w:rPr>
              <w:t xml:space="preserve">lly </w:t>
            </w:r>
            <w:r w:rsidRPr="00FA53BB">
              <w:rPr>
                <w:sz w:val="22"/>
                <w:szCs w:val="22"/>
              </w:rPr>
              <w:t>Excluded Subject to Sec. 58.5</w:t>
            </w:r>
          </w:p>
        </w:tc>
      </w:tr>
      <w:tr w:rsidR="00D06AEB" w14:paraId="52AAB24D" w14:textId="77777777" w:rsidTr="004604E6">
        <w:tc>
          <w:tcPr>
            <w:tcW w:w="4248" w:type="dxa"/>
          </w:tcPr>
          <w:p w14:paraId="0E2CFA5F" w14:textId="77777777" w:rsidR="00D06AEB" w:rsidRPr="00FA53BB" w:rsidRDefault="00D06AEB" w:rsidP="00FA53BB">
            <w:pPr>
              <w:pStyle w:val="Normal1"/>
              <w:jc w:val="left"/>
              <w:rPr>
                <w:sz w:val="22"/>
                <w:szCs w:val="22"/>
              </w:rPr>
            </w:pPr>
            <w:r w:rsidRPr="00FA53BB">
              <w:rPr>
                <w:sz w:val="22"/>
                <w:szCs w:val="22"/>
              </w:rPr>
              <w:t>Clearance (Demolition)</w:t>
            </w:r>
          </w:p>
        </w:tc>
        <w:tc>
          <w:tcPr>
            <w:tcW w:w="5130" w:type="dxa"/>
          </w:tcPr>
          <w:p w14:paraId="6E8DD82A" w14:textId="77777777" w:rsidR="00D06AEB" w:rsidRPr="00FA53BB" w:rsidRDefault="00FA53BB" w:rsidP="00FA53BB">
            <w:pPr>
              <w:pStyle w:val="Normal1"/>
              <w:jc w:val="left"/>
              <w:rPr>
                <w:sz w:val="22"/>
                <w:szCs w:val="22"/>
              </w:rPr>
            </w:pPr>
            <w:r w:rsidRPr="00FA53BB">
              <w:rPr>
                <w:sz w:val="22"/>
                <w:szCs w:val="22"/>
              </w:rPr>
              <w:t xml:space="preserve">Categorically </w:t>
            </w:r>
            <w:r w:rsidR="00D06AEB" w:rsidRPr="00FA53BB">
              <w:rPr>
                <w:sz w:val="22"/>
                <w:szCs w:val="22"/>
              </w:rPr>
              <w:t>Excluded Subject to Sec. 58.5 or EA</w:t>
            </w:r>
          </w:p>
        </w:tc>
      </w:tr>
      <w:tr w:rsidR="00D06AEB" w14:paraId="67C25267" w14:textId="77777777" w:rsidTr="004604E6">
        <w:tc>
          <w:tcPr>
            <w:tcW w:w="4248" w:type="dxa"/>
            <w:tcBorders>
              <w:bottom w:val="nil"/>
            </w:tcBorders>
          </w:tcPr>
          <w:p w14:paraId="7987154D" w14:textId="77777777" w:rsidR="00D06AEB" w:rsidRPr="00FA53BB" w:rsidRDefault="00D06AEB" w:rsidP="00FA53BB">
            <w:pPr>
              <w:pStyle w:val="Normal1"/>
              <w:jc w:val="left"/>
              <w:rPr>
                <w:sz w:val="22"/>
                <w:szCs w:val="22"/>
              </w:rPr>
            </w:pPr>
            <w:r w:rsidRPr="00FA53BB">
              <w:rPr>
                <w:sz w:val="22"/>
                <w:szCs w:val="22"/>
              </w:rPr>
              <w:t>Water and Sewer Improvements</w:t>
            </w:r>
          </w:p>
        </w:tc>
        <w:tc>
          <w:tcPr>
            <w:tcW w:w="5130" w:type="dxa"/>
            <w:tcBorders>
              <w:bottom w:val="nil"/>
            </w:tcBorders>
          </w:tcPr>
          <w:p w14:paraId="4E49294D" w14:textId="77777777" w:rsidR="00D06AEB" w:rsidRPr="00FA53BB" w:rsidRDefault="00FA53BB" w:rsidP="00FA53BB">
            <w:pPr>
              <w:pStyle w:val="Normal1"/>
              <w:ind w:right="-108"/>
              <w:jc w:val="left"/>
              <w:rPr>
                <w:sz w:val="22"/>
                <w:szCs w:val="22"/>
              </w:rPr>
            </w:pPr>
            <w:r w:rsidRPr="00FA53BB">
              <w:rPr>
                <w:sz w:val="22"/>
                <w:szCs w:val="22"/>
              </w:rPr>
              <w:t xml:space="preserve">Categorically </w:t>
            </w:r>
            <w:r w:rsidR="00D06AEB" w:rsidRPr="00FA53BB">
              <w:rPr>
                <w:sz w:val="22"/>
                <w:szCs w:val="22"/>
              </w:rPr>
              <w:t>Excluded Subject to Sec. 58.5 or EA</w:t>
            </w:r>
          </w:p>
        </w:tc>
      </w:tr>
      <w:tr w:rsidR="00D06AEB" w14:paraId="0F73419F" w14:textId="77777777" w:rsidTr="004604E6">
        <w:tc>
          <w:tcPr>
            <w:tcW w:w="4248" w:type="dxa"/>
            <w:tcBorders>
              <w:top w:val="nil"/>
              <w:left w:val="single" w:sz="4" w:space="0" w:color="auto"/>
            </w:tcBorders>
          </w:tcPr>
          <w:p w14:paraId="24E014AF" w14:textId="77777777" w:rsidR="00D06AEB" w:rsidRPr="00FA53BB" w:rsidRDefault="00D06AEB" w:rsidP="00FA53BB">
            <w:pPr>
              <w:pStyle w:val="Normal1"/>
              <w:jc w:val="left"/>
              <w:rPr>
                <w:sz w:val="22"/>
                <w:szCs w:val="22"/>
              </w:rPr>
            </w:pPr>
            <w:r w:rsidRPr="00FA53BB">
              <w:rPr>
                <w:sz w:val="22"/>
                <w:szCs w:val="22"/>
              </w:rPr>
              <w:t>Supplemental Assistance to a previously approved project</w:t>
            </w:r>
          </w:p>
        </w:tc>
        <w:tc>
          <w:tcPr>
            <w:tcW w:w="5130" w:type="dxa"/>
            <w:tcBorders>
              <w:top w:val="nil"/>
              <w:right w:val="single" w:sz="4" w:space="0" w:color="auto"/>
            </w:tcBorders>
          </w:tcPr>
          <w:p w14:paraId="43863A31" w14:textId="77777777" w:rsidR="00D06AEB" w:rsidRPr="00FA53BB" w:rsidRDefault="00D06AEB" w:rsidP="00FA53BB">
            <w:pPr>
              <w:pStyle w:val="Normal1"/>
              <w:jc w:val="left"/>
              <w:rPr>
                <w:sz w:val="22"/>
                <w:szCs w:val="22"/>
              </w:rPr>
            </w:pPr>
            <w:r w:rsidRPr="00FA53BB">
              <w:rPr>
                <w:sz w:val="22"/>
                <w:szCs w:val="22"/>
              </w:rPr>
              <w:t xml:space="preserve">Categorical </w:t>
            </w:r>
            <w:r w:rsidR="00FA53BB" w:rsidRPr="00FA53BB">
              <w:rPr>
                <w:sz w:val="22"/>
                <w:szCs w:val="22"/>
              </w:rPr>
              <w:t>E</w:t>
            </w:r>
            <w:r w:rsidRPr="00FA53BB">
              <w:rPr>
                <w:sz w:val="22"/>
                <w:szCs w:val="22"/>
              </w:rPr>
              <w:t>xcluded Not Subject to Sec. 58.5</w:t>
            </w:r>
          </w:p>
        </w:tc>
      </w:tr>
      <w:tr w:rsidR="00D06AEB" w14:paraId="47653854" w14:textId="77777777" w:rsidTr="004604E6">
        <w:tc>
          <w:tcPr>
            <w:tcW w:w="4248" w:type="dxa"/>
            <w:tcBorders>
              <w:top w:val="single" w:sz="4" w:space="0" w:color="auto"/>
            </w:tcBorders>
          </w:tcPr>
          <w:p w14:paraId="53A91FBE" w14:textId="77777777" w:rsidR="00D06AEB" w:rsidRPr="00FA53BB" w:rsidRDefault="00D06AEB" w:rsidP="00FA53BB">
            <w:pPr>
              <w:pStyle w:val="Normal1"/>
              <w:jc w:val="left"/>
              <w:rPr>
                <w:sz w:val="22"/>
                <w:szCs w:val="22"/>
              </w:rPr>
            </w:pPr>
            <w:r w:rsidRPr="00FA53BB">
              <w:rPr>
                <w:sz w:val="22"/>
                <w:szCs w:val="22"/>
              </w:rPr>
              <w:t>Flood and Drainage Facilities Improvements</w:t>
            </w:r>
          </w:p>
        </w:tc>
        <w:tc>
          <w:tcPr>
            <w:tcW w:w="5130" w:type="dxa"/>
            <w:tcBorders>
              <w:top w:val="single" w:sz="4" w:space="0" w:color="auto"/>
              <w:right w:val="single" w:sz="4" w:space="0" w:color="auto"/>
            </w:tcBorders>
          </w:tcPr>
          <w:p w14:paraId="1A339198" w14:textId="77777777" w:rsidR="00D06AEB" w:rsidRPr="00FA53BB" w:rsidRDefault="00FA53BB" w:rsidP="00FA53BB">
            <w:pPr>
              <w:pStyle w:val="Normal1"/>
              <w:jc w:val="left"/>
              <w:rPr>
                <w:sz w:val="22"/>
                <w:szCs w:val="22"/>
              </w:rPr>
            </w:pPr>
            <w:r w:rsidRPr="00FA53BB">
              <w:rPr>
                <w:sz w:val="22"/>
                <w:szCs w:val="22"/>
              </w:rPr>
              <w:t xml:space="preserve">Categorically </w:t>
            </w:r>
            <w:r w:rsidR="00D06AEB" w:rsidRPr="00FA53BB">
              <w:rPr>
                <w:sz w:val="22"/>
                <w:szCs w:val="22"/>
              </w:rPr>
              <w:t>Excluded Subject to Sec. 58.5 or EA</w:t>
            </w:r>
          </w:p>
        </w:tc>
      </w:tr>
      <w:tr w:rsidR="00D06AEB" w14:paraId="2E0D9F18" w14:textId="77777777" w:rsidTr="004604E6">
        <w:tc>
          <w:tcPr>
            <w:tcW w:w="4248" w:type="dxa"/>
          </w:tcPr>
          <w:p w14:paraId="112ECCA1" w14:textId="77777777" w:rsidR="00D06AEB" w:rsidRPr="00FA53BB" w:rsidRDefault="00D06AEB" w:rsidP="00FA53BB">
            <w:pPr>
              <w:pStyle w:val="Normal1"/>
              <w:jc w:val="left"/>
              <w:rPr>
                <w:sz w:val="22"/>
                <w:szCs w:val="22"/>
              </w:rPr>
            </w:pPr>
            <w:r w:rsidRPr="00FA53BB">
              <w:rPr>
                <w:sz w:val="22"/>
                <w:szCs w:val="22"/>
              </w:rPr>
              <w:t>Street Improvements</w:t>
            </w:r>
          </w:p>
        </w:tc>
        <w:tc>
          <w:tcPr>
            <w:tcW w:w="5130" w:type="dxa"/>
            <w:tcBorders>
              <w:right w:val="single" w:sz="4" w:space="0" w:color="auto"/>
            </w:tcBorders>
          </w:tcPr>
          <w:p w14:paraId="4B6CF55C" w14:textId="77777777" w:rsidR="00D06AEB" w:rsidRPr="00FA53BB" w:rsidRDefault="00FA53BB" w:rsidP="00FA53BB">
            <w:pPr>
              <w:pStyle w:val="Normal1"/>
              <w:jc w:val="left"/>
              <w:rPr>
                <w:sz w:val="22"/>
                <w:szCs w:val="22"/>
              </w:rPr>
            </w:pPr>
            <w:r w:rsidRPr="00FA53BB">
              <w:rPr>
                <w:sz w:val="22"/>
                <w:szCs w:val="22"/>
              </w:rPr>
              <w:t xml:space="preserve">Categorically </w:t>
            </w:r>
            <w:r w:rsidR="00D06AEB" w:rsidRPr="00FA53BB">
              <w:rPr>
                <w:sz w:val="22"/>
                <w:szCs w:val="22"/>
              </w:rPr>
              <w:t>Excluded Subject to Sec. 58.5 or EA</w:t>
            </w:r>
          </w:p>
        </w:tc>
      </w:tr>
      <w:tr w:rsidR="00D06AEB" w14:paraId="7805B834" w14:textId="77777777" w:rsidTr="004604E6">
        <w:tc>
          <w:tcPr>
            <w:tcW w:w="4248" w:type="dxa"/>
          </w:tcPr>
          <w:p w14:paraId="5B9D18EF" w14:textId="77777777" w:rsidR="00D06AEB" w:rsidRPr="00FA53BB" w:rsidRDefault="00D06AEB" w:rsidP="009E264A">
            <w:pPr>
              <w:pStyle w:val="Normal1"/>
              <w:spacing w:before="80" w:after="80"/>
              <w:jc w:val="left"/>
              <w:rPr>
                <w:sz w:val="22"/>
                <w:szCs w:val="22"/>
              </w:rPr>
            </w:pPr>
            <w:r w:rsidRPr="00FA53BB">
              <w:rPr>
                <w:sz w:val="22"/>
                <w:szCs w:val="22"/>
              </w:rPr>
              <w:t>Community Center/Facility:</w:t>
            </w:r>
          </w:p>
          <w:p w14:paraId="34D27206" w14:textId="3B15AF60" w:rsidR="00D06AEB" w:rsidRPr="00FA53BB" w:rsidRDefault="00D06AEB" w:rsidP="000D07E1">
            <w:pPr>
              <w:pStyle w:val="Normal1"/>
              <w:numPr>
                <w:ilvl w:val="0"/>
                <w:numId w:val="25"/>
              </w:numPr>
              <w:spacing w:before="80" w:after="80"/>
              <w:jc w:val="left"/>
              <w:rPr>
                <w:sz w:val="22"/>
                <w:szCs w:val="22"/>
              </w:rPr>
            </w:pPr>
            <w:r w:rsidRPr="00FA53BB">
              <w:rPr>
                <w:sz w:val="22"/>
                <w:szCs w:val="22"/>
              </w:rPr>
              <w:t>Rehabilitation</w:t>
            </w:r>
            <w:r w:rsidR="00AF0E8E">
              <w:rPr>
                <w:sz w:val="22"/>
                <w:szCs w:val="22"/>
              </w:rPr>
              <w:t xml:space="preserve"> of existing</w:t>
            </w:r>
          </w:p>
          <w:p w14:paraId="086D2AEC" w14:textId="4F8FFEBD" w:rsidR="00D06AEB" w:rsidRPr="00FA53BB" w:rsidRDefault="00D06AEB" w:rsidP="000D07E1">
            <w:pPr>
              <w:pStyle w:val="Normal1"/>
              <w:numPr>
                <w:ilvl w:val="0"/>
                <w:numId w:val="25"/>
              </w:numPr>
              <w:spacing w:before="80" w:after="80"/>
              <w:jc w:val="left"/>
              <w:rPr>
                <w:sz w:val="22"/>
                <w:szCs w:val="22"/>
              </w:rPr>
            </w:pPr>
            <w:r w:rsidRPr="00FA53BB">
              <w:rPr>
                <w:sz w:val="22"/>
                <w:szCs w:val="22"/>
              </w:rPr>
              <w:lastRenderedPageBreak/>
              <w:t>Construction</w:t>
            </w:r>
            <w:r w:rsidR="00AF0E8E">
              <w:rPr>
                <w:sz w:val="22"/>
                <w:szCs w:val="22"/>
              </w:rPr>
              <w:t xml:space="preserve"> of new </w:t>
            </w:r>
          </w:p>
        </w:tc>
        <w:tc>
          <w:tcPr>
            <w:tcW w:w="5130" w:type="dxa"/>
            <w:tcBorders>
              <w:right w:val="single" w:sz="4" w:space="0" w:color="auto"/>
            </w:tcBorders>
          </w:tcPr>
          <w:p w14:paraId="5F1451EF" w14:textId="77777777" w:rsidR="00D06AEB" w:rsidRPr="00FA53BB" w:rsidRDefault="00D06AEB" w:rsidP="009E264A">
            <w:pPr>
              <w:pStyle w:val="Normal1"/>
              <w:spacing w:before="80" w:after="80"/>
              <w:jc w:val="left"/>
              <w:rPr>
                <w:sz w:val="22"/>
                <w:szCs w:val="22"/>
              </w:rPr>
            </w:pPr>
          </w:p>
          <w:p w14:paraId="2998327D" w14:textId="77777777" w:rsidR="00D06AEB" w:rsidRPr="00FA53BB" w:rsidRDefault="00FA53BB" w:rsidP="009E264A">
            <w:pPr>
              <w:pStyle w:val="Normal1"/>
              <w:spacing w:before="80" w:after="80"/>
              <w:jc w:val="left"/>
              <w:rPr>
                <w:sz w:val="22"/>
                <w:szCs w:val="22"/>
              </w:rPr>
            </w:pPr>
            <w:r w:rsidRPr="00FA53BB">
              <w:rPr>
                <w:sz w:val="22"/>
                <w:szCs w:val="22"/>
              </w:rPr>
              <w:t xml:space="preserve">Categorically </w:t>
            </w:r>
            <w:r w:rsidR="00D06AEB" w:rsidRPr="00FA53BB">
              <w:rPr>
                <w:sz w:val="22"/>
                <w:szCs w:val="22"/>
              </w:rPr>
              <w:t>Excluded Subject to Sec. 58.5</w:t>
            </w:r>
            <w:r w:rsidR="00CD215B">
              <w:rPr>
                <w:sz w:val="22"/>
                <w:szCs w:val="22"/>
              </w:rPr>
              <w:t xml:space="preserve"> or EA</w:t>
            </w:r>
          </w:p>
          <w:p w14:paraId="4ED5B821" w14:textId="51000FAC" w:rsidR="00FA53BB" w:rsidRPr="00FA53BB" w:rsidRDefault="00D06AEB" w:rsidP="009E264A">
            <w:pPr>
              <w:pStyle w:val="Normal1"/>
              <w:spacing w:before="80" w:after="80"/>
              <w:jc w:val="left"/>
              <w:rPr>
                <w:sz w:val="22"/>
                <w:szCs w:val="22"/>
              </w:rPr>
            </w:pPr>
            <w:r w:rsidRPr="00FA53BB">
              <w:rPr>
                <w:sz w:val="22"/>
                <w:szCs w:val="22"/>
              </w:rPr>
              <w:lastRenderedPageBreak/>
              <w:t>EA</w:t>
            </w:r>
          </w:p>
        </w:tc>
      </w:tr>
      <w:tr w:rsidR="00D06AEB" w14:paraId="0F1E05A3" w14:textId="77777777" w:rsidTr="004604E6">
        <w:tc>
          <w:tcPr>
            <w:tcW w:w="4248" w:type="dxa"/>
          </w:tcPr>
          <w:p w14:paraId="0E78AA84" w14:textId="77777777" w:rsidR="00D06AEB" w:rsidRPr="00FA53BB" w:rsidRDefault="00D06AEB" w:rsidP="00FA53BB">
            <w:pPr>
              <w:pStyle w:val="Normal1"/>
              <w:jc w:val="left"/>
              <w:rPr>
                <w:sz w:val="22"/>
                <w:szCs w:val="22"/>
              </w:rPr>
            </w:pPr>
            <w:r w:rsidRPr="00FA53BB">
              <w:rPr>
                <w:sz w:val="22"/>
                <w:szCs w:val="22"/>
              </w:rPr>
              <w:lastRenderedPageBreak/>
              <w:t xml:space="preserve">Parks, </w:t>
            </w:r>
            <w:proofErr w:type="gramStart"/>
            <w:r w:rsidRPr="00FA53BB">
              <w:rPr>
                <w:sz w:val="22"/>
                <w:szCs w:val="22"/>
              </w:rPr>
              <w:t>playground</w:t>
            </w:r>
            <w:proofErr w:type="gramEnd"/>
            <w:r w:rsidRPr="00FA53BB">
              <w:rPr>
                <w:sz w:val="22"/>
                <w:szCs w:val="22"/>
              </w:rPr>
              <w:t xml:space="preserve"> and other Recreational Facilities--Improvements</w:t>
            </w:r>
          </w:p>
        </w:tc>
        <w:tc>
          <w:tcPr>
            <w:tcW w:w="5130" w:type="dxa"/>
            <w:tcBorders>
              <w:right w:val="single" w:sz="4" w:space="0" w:color="auto"/>
            </w:tcBorders>
          </w:tcPr>
          <w:p w14:paraId="463234BD" w14:textId="77777777" w:rsidR="00D06AEB" w:rsidRPr="00FA53BB" w:rsidRDefault="00FA53BB" w:rsidP="00FA53BB">
            <w:pPr>
              <w:pStyle w:val="Normal1"/>
              <w:jc w:val="left"/>
              <w:rPr>
                <w:sz w:val="22"/>
                <w:szCs w:val="22"/>
              </w:rPr>
            </w:pPr>
            <w:r w:rsidRPr="00FA53BB">
              <w:rPr>
                <w:sz w:val="22"/>
                <w:szCs w:val="22"/>
              </w:rPr>
              <w:t xml:space="preserve">Categorically </w:t>
            </w:r>
            <w:r w:rsidR="00D06AEB" w:rsidRPr="00FA53BB">
              <w:rPr>
                <w:sz w:val="22"/>
                <w:szCs w:val="22"/>
              </w:rPr>
              <w:t>Excluded Subject to Sec. 58.5 or EA</w:t>
            </w:r>
          </w:p>
        </w:tc>
      </w:tr>
      <w:tr w:rsidR="00D06AEB" w14:paraId="1A9E160F" w14:textId="77777777" w:rsidTr="004604E6">
        <w:tc>
          <w:tcPr>
            <w:tcW w:w="4248" w:type="dxa"/>
          </w:tcPr>
          <w:p w14:paraId="0DCB02ED" w14:textId="77777777" w:rsidR="00D06AEB" w:rsidRPr="00FA53BB" w:rsidRDefault="00D06AEB" w:rsidP="009E264A">
            <w:pPr>
              <w:pStyle w:val="Normal1"/>
              <w:spacing w:before="80" w:after="80"/>
              <w:jc w:val="left"/>
              <w:rPr>
                <w:sz w:val="22"/>
                <w:szCs w:val="22"/>
              </w:rPr>
            </w:pPr>
            <w:r w:rsidRPr="00FA53BB">
              <w:rPr>
                <w:sz w:val="22"/>
                <w:szCs w:val="22"/>
              </w:rPr>
              <w:t>Neighborhood facilities:</w:t>
            </w:r>
          </w:p>
          <w:p w14:paraId="403C073A" w14:textId="2B3A6639" w:rsidR="00D06AEB" w:rsidRPr="00FA53BB" w:rsidRDefault="00D06AEB" w:rsidP="000D07E1">
            <w:pPr>
              <w:pStyle w:val="Normal1"/>
              <w:numPr>
                <w:ilvl w:val="0"/>
                <w:numId w:val="26"/>
              </w:numPr>
              <w:spacing w:before="80" w:after="80"/>
              <w:jc w:val="left"/>
              <w:rPr>
                <w:sz w:val="22"/>
                <w:szCs w:val="22"/>
              </w:rPr>
            </w:pPr>
            <w:r w:rsidRPr="00FA53BB">
              <w:rPr>
                <w:sz w:val="22"/>
                <w:szCs w:val="22"/>
              </w:rPr>
              <w:t>Rehabilitation</w:t>
            </w:r>
            <w:r w:rsidR="0001164E">
              <w:rPr>
                <w:sz w:val="22"/>
                <w:szCs w:val="22"/>
              </w:rPr>
              <w:t xml:space="preserve"> of existing</w:t>
            </w:r>
          </w:p>
          <w:p w14:paraId="59EE20B3" w14:textId="5333B866" w:rsidR="00D06AEB" w:rsidRPr="00FA53BB" w:rsidRDefault="00D06AEB" w:rsidP="000D07E1">
            <w:pPr>
              <w:pStyle w:val="Normal1"/>
              <w:widowControl w:val="0"/>
              <w:numPr>
                <w:ilvl w:val="0"/>
                <w:numId w:val="26"/>
              </w:numPr>
              <w:spacing w:before="80" w:after="80"/>
              <w:jc w:val="left"/>
              <w:rPr>
                <w:sz w:val="22"/>
                <w:szCs w:val="22"/>
              </w:rPr>
            </w:pPr>
            <w:r w:rsidRPr="00FA53BB">
              <w:rPr>
                <w:sz w:val="22"/>
                <w:szCs w:val="22"/>
              </w:rPr>
              <w:t>Construction</w:t>
            </w:r>
            <w:r w:rsidR="0001164E">
              <w:rPr>
                <w:sz w:val="22"/>
                <w:szCs w:val="22"/>
              </w:rPr>
              <w:t xml:space="preserve"> of new</w:t>
            </w:r>
          </w:p>
        </w:tc>
        <w:tc>
          <w:tcPr>
            <w:tcW w:w="5130" w:type="dxa"/>
            <w:tcBorders>
              <w:right w:val="single" w:sz="4" w:space="0" w:color="auto"/>
            </w:tcBorders>
          </w:tcPr>
          <w:p w14:paraId="1F694AB2" w14:textId="77777777" w:rsidR="00FA53BB" w:rsidRPr="00FA53BB" w:rsidRDefault="00FA53BB" w:rsidP="009E264A">
            <w:pPr>
              <w:pStyle w:val="Normal1"/>
              <w:spacing w:before="80" w:after="80"/>
              <w:jc w:val="left"/>
              <w:rPr>
                <w:sz w:val="22"/>
                <w:szCs w:val="22"/>
              </w:rPr>
            </w:pPr>
          </w:p>
          <w:p w14:paraId="25635613" w14:textId="77777777" w:rsidR="00FA53BB" w:rsidRPr="00FA53BB" w:rsidRDefault="00FA53BB" w:rsidP="009E264A">
            <w:pPr>
              <w:pStyle w:val="Normal1"/>
              <w:spacing w:before="80" w:after="80"/>
              <w:jc w:val="left"/>
              <w:rPr>
                <w:sz w:val="22"/>
                <w:szCs w:val="22"/>
              </w:rPr>
            </w:pPr>
            <w:r w:rsidRPr="00FA53BB">
              <w:rPr>
                <w:sz w:val="22"/>
                <w:szCs w:val="22"/>
              </w:rPr>
              <w:t>Categorically Excluded Subject to Sec. 58.5</w:t>
            </w:r>
            <w:r w:rsidR="0089504E">
              <w:rPr>
                <w:sz w:val="22"/>
                <w:szCs w:val="22"/>
              </w:rPr>
              <w:t xml:space="preserve"> or EA</w:t>
            </w:r>
          </w:p>
          <w:p w14:paraId="6EE9CE59" w14:textId="77777777" w:rsidR="00D06AEB" w:rsidRPr="00FA53BB" w:rsidRDefault="00FA53BB" w:rsidP="009E264A">
            <w:pPr>
              <w:pStyle w:val="Normal1"/>
              <w:widowControl w:val="0"/>
              <w:spacing w:before="80" w:after="80"/>
              <w:jc w:val="left"/>
              <w:rPr>
                <w:sz w:val="22"/>
                <w:szCs w:val="22"/>
              </w:rPr>
            </w:pPr>
            <w:r w:rsidRPr="00FA53BB">
              <w:rPr>
                <w:sz w:val="22"/>
                <w:szCs w:val="22"/>
              </w:rPr>
              <w:t>EA</w:t>
            </w:r>
          </w:p>
        </w:tc>
      </w:tr>
      <w:tr w:rsidR="00FA53BB" w14:paraId="12E116BE" w14:textId="77777777" w:rsidTr="004604E6">
        <w:trPr>
          <w:cantSplit/>
        </w:trPr>
        <w:tc>
          <w:tcPr>
            <w:tcW w:w="4248" w:type="dxa"/>
          </w:tcPr>
          <w:p w14:paraId="3DC0FC51" w14:textId="77777777" w:rsidR="00FA53BB" w:rsidRPr="00FA53BB" w:rsidRDefault="00FA53BB" w:rsidP="009E264A">
            <w:pPr>
              <w:pStyle w:val="Normal1"/>
              <w:spacing w:before="80" w:after="80"/>
              <w:jc w:val="left"/>
              <w:rPr>
                <w:sz w:val="22"/>
                <w:szCs w:val="22"/>
              </w:rPr>
            </w:pPr>
            <w:r w:rsidRPr="00FA53BB">
              <w:rPr>
                <w:sz w:val="22"/>
                <w:szCs w:val="22"/>
              </w:rPr>
              <w:t>Fire protection Facilities:</w:t>
            </w:r>
          </w:p>
          <w:p w14:paraId="2F9C721D" w14:textId="77C91882" w:rsidR="00FA53BB" w:rsidRPr="00FA53BB" w:rsidRDefault="00FA53BB" w:rsidP="000D07E1">
            <w:pPr>
              <w:pStyle w:val="Normal1"/>
              <w:numPr>
                <w:ilvl w:val="0"/>
                <w:numId w:val="27"/>
              </w:numPr>
              <w:spacing w:before="80" w:after="80"/>
              <w:jc w:val="left"/>
              <w:rPr>
                <w:sz w:val="22"/>
                <w:szCs w:val="22"/>
              </w:rPr>
            </w:pPr>
            <w:r w:rsidRPr="00FA53BB">
              <w:rPr>
                <w:sz w:val="22"/>
                <w:szCs w:val="22"/>
              </w:rPr>
              <w:t>Rehabilitation</w:t>
            </w:r>
            <w:r w:rsidR="0001164E">
              <w:rPr>
                <w:sz w:val="22"/>
                <w:szCs w:val="22"/>
              </w:rPr>
              <w:t xml:space="preserve"> of existing</w:t>
            </w:r>
          </w:p>
          <w:p w14:paraId="1FD28F57" w14:textId="559266CA" w:rsidR="00FA53BB" w:rsidRPr="00FA53BB" w:rsidRDefault="00FA53BB" w:rsidP="000D07E1">
            <w:pPr>
              <w:pStyle w:val="Normal1"/>
              <w:numPr>
                <w:ilvl w:val="0"/>
                <w:numId w:val="27"/>
              </w:numPr>
              <w:spacing w:before="80" w:after="80"/>
              <w:jc w:val="left"/>
              <w:rPr>
                <w:sz w:val="22"/>
                <w:szCs w:val="22"/>
              </w:rPr>
            </w:pPr>
            <w:r w:rsidRPr="00FA53BB">
              <w:rPr>
                <w:sz w:val="22"/>
                <w:szCs w:val="22"/>
              </w:rPr>
              <w:t>Construction</w:t>
            </w:r>
            <w:r w:rsidR="0001164E">
              <w:rPr>
                <w:sz w:val="22"/>
                <w:szCs w:val="22"/>
              </w:rPr>
              <w:t xml:space="preserve"> of new</w:t>
            </w:r>
          </w:p>
        </w:tc>
        <w:tc>
          <w:tcPr>
            <w:tcW w:w="5130" w:type="dxa"/>
            <w:tcBorders>
              <w:right w:val="single" w:sz="4" w:space="0" w:color="auto"/>
            </w:tcBorders>
          </w:tcPr>
          <w:p w14:paraId="6BD1B70C" w14:textId="77777777" w:rsidR="00293239" w:rsidRDefault="00293239" w:rsidP="009E264A">
            <w:pPr>
              <w:pStyle w:val="Normal1"/>
              <w:spacing w:before="80" w:after="80"/>
              <w:jc w:val="left"/>
              <w:rPr>
                <w:sz w:val="22"/>
                <w:szCs w:val="22"/>
              </w:rPr>
            </w:pPr>
          </w:p>
          <w:p w14:paraId="67683B45" w14:textId="77777777" w:rsidR="00FA53BB" w:rsidRPr="00FA53BB" w:rsidRDefault="00FA53BB" w:rsidP="009E264A">
            <w:pPr>
              <w:pStyle w:val="Normal1"/>
              <w:spacing w:before="80" w:after="80"/>
              <w:jc w:val="left"/>
              <w:rPr>
                <w:sz w:val="22"/>
                <w:szCs w:val="22"/>
              </w:rPr>
            </w:pPr>
            <w:r w:rsidRPr="00FA53BB">
              <w:rPr>
                <w:sz w:val="22"/>
                <w:szCs w:val="22"/>
              </w:rPr>
              <w:t>Categorically Excluded Subject to Sec. 58.5</w:t>
            </w:r>
            <w:r w:rsidR="0089504E">
              <w:rPr>
                <w:sz w:val="22"/>
                <w:szCs w:val="22"/>
              </w:rPr>
              <w:t xml:space="preserve"> or EA</w:t>
            </w:r>
          </w:p>
          <w:p w14:paraId="24B6C645" w14:textId="77777777" w:rsidR="00FA53BB" w:rsidRPr="00FA53BB" w:rsidRDefault="00FA53BB" w:rsidP="009E264A">
            <w:pPr>
              <w:pStyle w:val="Normal1"/>
              <w:spacing w:before="80" w:after="80"/>
              <w:jc w:val="left"/>
              <w:rPr>
                <w:sz w:val="22"/>
                <w:szCs w:val="22"/>
              </w:rPr>
            </w:pPr>
            <w:r w:rsidRPr="00FA53BB">
              <w:rPr>
                <w:sz w:val="22"/>
                <w:szCs w:val="22"/>
              </w:rPr>
              <w:t>EA</w:t>
            </w:r>
          </w:p>
        </w:tc>
      </w:tr>
      <w:tr w:rsidR="00FA53BB" w14:paraId="0890FE06" w14:textId="77777777" w:rsidTr="004604E6">
        <w:tc>
          <w:tcPr>
            <w:tcW w:w="4248" w:type="dxa"/>
          </w:tcPr>
          <w:p w14:paraId="60322A0C" w14:textId="6A937A63" w:rsidR="00FA53BB" w:rsidRPr="00FA53BB" w:rsidRDefault="00FA53BB" w:rsidP="009E264A">
            <w:pPr>
              <w:pStyle w:val="Normal1"/>
              <w:widowControl w:val="0"/>
              <w:spacing w:before="80" w:after="80"/>
              <w:jc w:val="left"/>
              <w:rPr>
                <w:sz w:val="22"/>
                <w:szCs w:val="22"/>
              </w:rPr>
            </w:pPr>
            <w:r w:rsidRPr="00FA53BB">
              <w:rPr>
                <w:sz w:val="22"/>
                <w:szCs w:val="22"/>
              </w:rPr>
              <w:t>Parking facilities:</w:t>
            </w:r>
          </w:p>
          <w:p w14:paraId="7F8402F2" w14:textId="4764EA31" w:rsidR="00FA53BB" w:rsidRPr="00FA53BB" w:rsidRDefault="00FA53BB" w:rsidP="000D07E1">
            <w:pPr>
              <w:pStyle w:val="Normal1"/>
              <w:widowControl w:val="0"/>
              <w:numPr>
                <w:ilvl w:val="0"/>
                <w:numId w:val="28"/>
              </w:numPr>
              <w:spacing w:before="80" w:after="80"/>
              <w:jc w:val="left"/>
              <w:rPr>
                <w:sz w:val="22"/>
                <w:szCs w:val="22"/>
              </w:rPr>
            </w:pPr>
            <w:r w:rsidRPr="00FA53BB">
              <w:rPr>
                <w:sz w:val="22"/>
                <w:szCs w:val="22"/>
              </w:rPr>
              <w:t>Rehabilitation</w:t>
            </w:r>
            <w:r w:rsidR="0001164E">
              <w:rPr>
                <w:sz w:val="22"/>
                <w:szCs w:val="22"/>
              </w:rPr>
              <w:t xml:space="preserve"> of existing</w:t>
            </w:r>
          </w:p>
          <w:p w14:paraId="0671F009" w14:textId="1C939C28" w:rsidR="00FA53BB" w:rsidRPr="00FA53BB" w:rsidRDefault="00FA53BB" w:rsidP="000D07E1">
            <w:pPr>
              <w:pStyle w:val="Normal1"/>
              <w:numPr>
                <w:ilvl w:val="0"/>
                <w:numId w:val="28"/>
              </w:numPr>
              <w:spacing w:before="80" w:after="80"/>
              <w:jc w:val="left"/>
              <w:rPr>
                <w:sz w:val="22"/>
                <w:szCs w:val="22"/>
              </w:rPr>
            </w:pPr>
            <w:r w:rsidRPr="00FA53BB">
              <w:rPr>
                <w:sz w:val="22"/>
                <w:szCs w:val="22"/>
              </w:rPr>
              <w:t>Construction</w:t>
            </w:r>
            <w:r w:rsidR="0001164E">
              <w:rPr>
                <w:sz w:val="22"/>
                <w:szCs w:val="22"/>
              </w:rPr>
              <w:t xml:space="preserve"> of new</w:t>
            </w:r>
          </w:p>
        </w:tc>
        <w:tc>
          <w:tcPr>
            <w:tcW w:w="5130" w:type="dxa"/>
            <w:tcBorders>
              <w:right w:val="single" w:sz="4" w:space="0" w:color="auto"/>
            </w:tcBorders>
          </w:tcPr>
          <w:p w14:paraId="70CBA941" w14:textId="77777777" w:rsidR="00E507E5" w:rsidRDefault="00E507E5" w:rsidP="009E264A">
            <w:pPr>
              <w:pStyle w:val="Normal1"/>
              <w:widowControl w:val="0"/>
              <w:spacing w:before="80" w:after="80"/>
              <w:jc w:val="left"/>
              <w:rPr>
                <w:sz w:val="22"/>
                <w:szCs w:val="22"/>
              </w:rPr>
            </w:pPr>
          </w:p>
          <w:p w14:paraId="40A054DB" w14:textId="5E940D36" w:rsidR="00FA53BB" w:rsidRPr="00FA53BB" w:rsidRDefault="00FA53BB" w:rsidP="009E264A">
            <w:pPr>
              <w:pStyle w:val="Normal1"/>
              <w:widowControl w:val="0"/>
              <w:spacing w:before="80" w:after="80"/>
              <w:jc w:val="left"/>
              <w:rPr>
                <w:sz w:val="22"/>
                <w:szCs w:val="22"/>
              </w:rPr>
            </w:pPr>
            <w:r w:rsidRPr="00FA53BB">
              <w:rPr>
                <w:sz w:val="22"/>
                <w:szCs w:val="22"/>
              </w:rPr>
              <w:t>Categorically Excluded Subject to Sec. 58.5</w:t>
            </w:r>
            <w:r w:rsidR="0089504E">
              <w:rPr>
                <w:sz w:val="22"/>
                <w:szCs w:val="22"/>
              </w:rPr>
              <w:t xml:space="preserve"> or EA</w:t>
            </w:r>
          </w:p>
          <w:p w14:paraId="61E425F4" w14:textId="77777777" w:rsidR="00FA53BB" w:rsidRPr="00FA53BB" w:rsidRDefault="00FA53BB" w:rsidP="009E264A">
            <w:pPr>
              <w:pStyle w:val="Normal1"/>
              <w:spacing w:before="80" w:after="80"/>
              <w:jc w:val="left"/>
              <w:rPr>
                <w:sz w:val="22"/>
                <w:szCs w:val="22"/>
              </w:rPr>
            </w:pPr>
            <w:r w:rsidRPr="00FA53BB">
              <w:rPr>
                <w:sz w:val="22"/>
                <w:szCs w:val="22"/>
              </w:rPr>
              <w:t>EA</w:t>
            </w:r>
          </w:p>
        </w:tc>
      </w:tr>
      <w:tr w:rsidR="00FA53BB" w14:paraId="47470A7A" w14:textId="77777777" w:rsidTr="004604E6">
        <w:tc>
          <w:tcPr>
            <w:tcW w:w="4248" w:type="dxa"/>
          </w:tcPr>
          <w:p w14:paraId="3D6DF3BD" w14:textId="2D556D24" w:rsidR="00FA53BB" w:rsidRPr="00FA53BB" w:rsidRDefault="00FA53BB" w:rsidP="00FA53BB">
            <w:pPr>
              <w:pStyle w:val="Normal1"/>
              <w:jc w:val="left"/>
              <w:rPr>
                <w:sz w:val="22"/>
                <w:szCs w:val="22"/>
              </w:rPr>
            </w:pPr>
            <w:r w:rsidRPr="00FA53BB">
              <w:rPr>
                <w:sz w:val="22"/>
                <w:szCs w:val="22"/>
              </w:rPr>
              <w:t xml:space="preserve">Public </w:t>
            </w:r>
            <w:r w:rsidR="0001164E">
              <w:rPr>
                <w:sz w:val="22"/>
                <w:szCs w:val="22"/>
              </w:rPr>
              <w:t>U</w:t>
            </w:r>
            <w:r w:rsidRPr="00FA53BB">
              <w:rPr>
                <w:sz w:val="22"/>
                <w:szCs w:val="22"/>
              </w:rPr>
              <w:t>tilities, other than Water or Sewer Facilities--Improvements</w:t>
            </w:r>
          </w:p>
        </w:tc>
        <w:tc>
          <w:tcPr>
            <w:tcW w:w="5130" w:type="dxa"/>
            <w:tcBorders>
              <w:right w:val="single" w:sz="4" w:space="0" w:color="auto"/>
            </w:tcBorders>
          </w:tcPr>
          <w:p w14:paraId="3E2C5F0B" w14:textId="77777777" w:rsidR="00FA53BB" w:rsidRPr="00FA53BB" w:rsidRDefault="00FA53BB" w:rsidP="00FA53BB">
            <w:pPr>
              <w:pStyle w:val="Normal1"/>
              <w:jc w:val="left"/>
              <w:rPr>
                <w:sz w:val="22"/>
                <w:szCs w:val="22"/>
              </w:rPr>
            </w:pPr>
            <w:r w:rsidRPr="00FA53BB">
              <w:rPr>
                <w:sz w:val="22"/>
                <w:szCs w:val="22"/>
              </w:rPr>
              <w:t>EA</w:t>
            </w:r>
          </w:p>
        </w:tc>
      </w:tr>
      <w:tr w:rsidR="00FA53BB" w14:paraId="63916E76" w14:textId="77777777" w:rsidTr="004604E6">
        <w:tc>
          <w:tcPr>
            <w:tcW w:w="4248" w:type="dxa"/>
          </w:tcPr>
          <w:p w14:paraId="0B69D03A" w14:textId="77777777" w:rsidR="00FA53BB" w:rsidRPr="00FA53BB" w:rsidRDefault="00FA53BB" w:rsidP="00FA53BB">
            <w:pPr>
              <w:pStyle w:val="Normal1"/>
              <w:jc w:val="left"/>
              <w:rPr>
                <w:sz w:val="22"/>
                <w:szCs w:val="22"/>
              </w:rPr>
            </w:pPr>
            <w:r w:rsidRPr="00FA53BB">
              <w:rPr>
                <w:sz w:val="22"/>
                <w:szCs w:val="22"/>
              </w:rPr>
              <w:t>Relocation Payments and Assistance</w:t>
            </w:r>
          </w:p>
        </w:tc>
        <w:tc>
          <w:tcPr>
            <w:tcW w:w="5130" w:type="dxa"/>
            <w:tcBorders>
              <w:right w:val="single" w:sz="4" w:space="0" w:color="auto"/>
            </w:tcBorders>
          </w:tcPr>
          <w:p w14:paraId="7565F5BE" w14:textId="77777777" w:rsidR="00FA53BB" w:rsidRPr="00FA53BB" w:rsidRDefault="00FA53BB" w:rsidP="00FA53BB">
            <w:pPr>
              <w:pStyle w:val="Normal1"/>
              <w:jc w:val="left"/>
              <w:rPr>
                <w:sz w:val="22"/>
                <w:szCs w:val="22"/>
              </w:rPr>
            </w:pPr>
            <w:r w:rsidRPr="00FA53BB">
              <w:rPr>
                <w:sz w:val="22"/>
                <w:szCs w:val="22"/>
              </w:rPr>
              <w:t>Exempt</w:t>
            </w:r>
          </w:p>
        </w:tc>
      </w:tr>
      <w:tr w:rsidR="00FA53BB" w14:paraId="3C0F92AE" w14:textId="77777777" w:rsidTr="004604E6">
        <w:tc>
          <w:tcPr>
            <w:tcW w:w="4248" w:type="dxa"/>
          </w:tcPr>
          <w:p w14:paraId="5D478932" w14:textId="77777777" w:rsidR="00FA53BB" w:rsidRPr="00FA53BB" w:rsidRDefault="00FA53BB" w:rsidP="00FA53BB">
            <w:pPr>
              <w:pStyle w:val="Normal1"/>
              <w:jc w:val="left"/>
              <w:rPr>
                <w:sz w:val="22"/>
                <w:szCs w:val="22"/>
              </w:rPr>
            </w:pPr>
            <w:r w:rsidRPr="00FA53BB">
              <w:rPr>
                <w:sz w:val="22"/>
                <w:szCs w:val="22"/>
              </w:rPr>
              <w:t>Rehabilitation – Residential</w:t>
            </w:r>
          </w:p>
        </w:tc>
        <w:tc>
          <w:tcPr>
            <w:tcW w:w="5130" w:type="dxa"/>
            <w:tcBorders>
              <w:right w:val="single" w:sz="4" w:space="0" w:color="auto"/>
            </w:tcBorders>
          </w:tcPr>
          <w:p w14:paraId="1C672553" w14:textId="77777777" w:rsidR="00FA53BB" w:rsidRPr="00FA53BB" w:rsidRDefault="00FA53BB" w:rsidP="00FA53BB">
            <w:pPr>
              <w:pStyle w:val="Normal1"/>
              <w:jc w:val="left"/>
              <w:rPr>
                <w:sz w:val="22"/>
                <w:szCs w:val="22"/>
              </w:rPr>
            </w:pPr>
            <w:r w:rsidRPr="00FA53BB">
              <w:rPr>
                <w:sz w:val="22"/>
                <w:szCs w:val="22"/>
              </w:rPr>
              <w:t>Categorically Excluded Subject to Sec. 58.5 or EA</w:t>
            </w:r>
          </w:p>
        </w:tc>
      </w:tr>
      <w:tr w:rsidR="00FA53BB" w14:paraId="658BC579" w14:textId="77777777" w:rsidTr="004604E6">
        <w:tc>
          <w:tcPr>
            <w:tcW w:w="4248" w:type="dxa"/>
          </w:tcPr>
          <w:p w14:paraId="3C7AF986" w14:textId="77777777" w:rsidR="00FA53BB" w:rsidRPr="00FA53BB" w:rsidRDefault="00FA53BB" w:rsidP="00FA53BB">
            <w:pPr>
              <w:pStyle w:val="Normal1"/>
              <w:jc w:val="left"/>
              <w:rPr>
                <w:sz w:val="22"/>
                <w:szCs w:val="22"/>
              </w:rPr>
            </w:pPr>
            <w:r w:rsidRPr="00FA53BB">
              <w:rPr>
                <w:sz w:val="22"/>
                <w:szCs w:val="22"/>
              </w:rPr>
              <w:t>Rehabilitation – Commercial</w:t>
            </w:r>
          </w:p>
        </w:tc>
        <w:tc>
          <w:tcPr>
            <w:tcW w:w="5130" w:type="dxa"/>
            <w:tcBorders>
              <w:right w:val="single" w:sz="4" w:space="0" w:color="auto"/>
            </w:tcBorders>
          </w:tcPr>
          <w:p w14:paraId="54C35B20" w14:textId="77777777" w:rsidR="00FA53BB" w:rsidRPr="00FA53BB" w:rsidRDefault="00FA53BB" w:rsidP="00FA53BB">
            <w:pPr>
              <w:pStyle w:val="Normal1"/>
              <w:jc w:val="left"/>
              <w:rPr>
                <w:sz w:val="22"/>
                <w:szCs w:val="22"/>
              </w:rPr>
            </w:pPr>
            <w:r w:rsidRPr="00FA53BB">
              <w:rPr>
                <w:sz w:val="22"/>
                <w:szCs w:val="22"/>
              </w:rPr>
              <w:t>Categorically Excluded Subject to Sec. 58.5 or EA</w:t>
            </w:r>
          </w:p>
        </w:tc>
      </w:tr>
      <w:tr w:rsidR="00FA53BB" w14:paraId="35A4D7F4" w14:textId="77777777" w:rsidTr="004604E6">
        <w:tc>
          <w:tcPr>
            <w:tcW w:w="4248" w:type="dxa"/>
          </w:tcPr>
          <w:p w14:paraId="3E238D8C" w14:textId="77777777" w:rsidR="00FA53BB" w:rsidRPr="00FA53BB" w:rsidRDefault="00FA53BB" w:rsidP="00FA53BB">
            <w:pPr>
              <w:pStyle w:val="Normal1"/>
              <w:jc w:val="left"/>
              <w:rPr>
                <w:sz w:val="22"/>
                <w:szCs w:val="22"/>
              </w:rPr>
            </w:pPr>
            <w:r w:rsidRPr="00FA53BB">
              <w:rPr>
                <w:sz w:val="22"/>
                <w:szCs w:val="22"/>
              </w:rPr>
              <w:t>Planning and Technical Assistance</w:t>
            </w:r>
          </w:p>
        </w:tc>
        <w:tc>
          <w:tcPr>
            <w:tcW w:w="5130" w:type="dxa"/>
            <w:tcBorders>
              <w:right w:val="single" w:sz="4" w:space="0" w:color="auto"/>
            </w:tcBorders>
          </w:tcPr>
          <w:p w14:paraId="74F9FE7C" w14:textId="77777777" w:rsidR="00FA53BB" w:rsidRPr="00FA53BB" w:rsidRDefault="00FA53BB" w:rsidP="00FA53BB">
            <w:pPr>
              <w:pStyle w:val="Normal1"/>
              <w:jc w:val="left"/>
              <w:rPr>
                <w:sz w:val="22"/>
                <w:szCs w:val="22"/>
              </w:rPr>
            </w:pPr>
            <w:r w:rsidRPr="00FA53BB">
              <w:rPr>
                <w:sz w:val="22"/>
                <w:szCs w:val="22"/>
              </w:rPr>
              <w:t>Exempt</w:t>
            </w:r>
          </w:p>
        </w:tc>
      </w:tr>
      <w:tr w:rsidR="00FA53BB" w14:paraId="409824D2" w14:textId="77777777" w:rsidTr="004604E6">
        <w:tc>
          <w:tcPr>
            <w:tcW w:w="4248" w:type="dxa"/>
          </w:tcPr>
          <w:p w14:paraId="0FFD7DB1" w14:textId="77777777" w:rsidR="00FA53BB" w:rsidRPr="00FA53BB" w:rsidRDefault="00FA53BB" w:rsidP="00FA53BB">
            <w:pPr>
              <w:pStyle w:val="Normal1"/>
              <w:jc w:val="left"/>
              <w:rPr>
                <w:sz w:val="22"/>
                <w:szCs w:val="22"/>
              </w:rPr>
            </w:pPr>
            <w:r w:rsidRPr="00FA53BB">
              <w:rPr>
                <w:sz w:val="22"/>
                <w:szCs w:val="22"/>
              </w:rPr>
              <w:t>General Administration</w:t>
            </w:r>
          </w:p>
        </w:tc>
        <w:tc>
          <w:tcPr>
            <w:tcW w:w="5130" w:type="dxa"/>
            <w:tcBorders>
              <w:right w:val="single" w:sz="4" w:space="0" w:color="auto"/>
            </w:tcBorders>
          </w:tcPr>
          <w:p w14:paraId="0ACB9ECF" w14:textId="77777777" w:rsidR="00FA53BB" w:rsidRPr="00FA53BB" w:rsidRDefault="00FA53BB" w:rsidP="00FA53BB">
            <w:pPr>
              <w:pStyle w:val="Normal1"/>
              <w:jc w:val="left"/>
              <w:rPr>
                <w:sz w:val="22"/>
                <w:szCs w:val="22"/>
              </w:rPr>
            </w:pPr>
            <w:r w:rsidRPr="00FA53BB">
              <w:rPr>
                <w:sz w:val="22"/>
                <w:szCs w:val="22"/>
              </w:rPr>
              <w:t>Exempt</w:t>
            </w:r>
          </w:p>
        </w:tc>
      </w:tr>
      <w:tr w:rsidR="00FA53BB" w14:paraId="6425AD9B" w14:textId="77777777" w:rsidTr="004604E6">
        <w:tc>
          <w:tcPr>
            <w:tcW w:w="4248" w:type="dxa"/>
          </w:tcPr>
          <w:p w14:paraId="27C959EB" w14:textId="77777777" w:rsidR="00FA53BB" w:rsidRPr="00FA53BB" w:rsidRDefault="00FA53BB" w:rsidP="00FA53BB">
            <w:pPr>
              <w:pStyle w:val="Normal1"/>
              <w:jc w:val="left"/>
              <w:rPr>
                <w:sz w:val="22"/>
                <w:szCs w:val="22"/>
              </w:rPr>
            </w:pPr>
            <w:r w:rsidRPr="00FA53BB">
              <w:rPr>
                <w:sz w:val="22"/>
                <w:szCs w:val="22"/>
              </w:rPr>
              <w:t>Economic Development Assistance to Non-Profit Entities (activities not associated with construction or expansion)</w:t>
            </w:r>
          </w:p>
        </w:tc>
        <w:tc>
          <w:tcPr>
            <w:tcW w:w="5130" w:type="dxa"/>
            <w:tcBorders>
              <w:right w:val="single" w:sz="4" w:space="0" w:color="auto"/>
            </w:tcBorders>
          </w:tcPr>
          <w:p w14:paraId="728B46BD" w14:textId="77777777" w:rsidR="00FA53BB" w:rsidRPr="00FA53BB" w:rsidRDefault="00FA53BB" w:rsidP="00FA53BB">
            <w:pPr>
              <w:pStyle w:val="Normal1"/>
              <w:jc w:val="left"/>
              <w:rPr>
                <w:sz w:val="22"/>
                <w:szCs w:val="22"/>
              </w:rPr>
            </w:pPr>
            <w:r w:rsidRPr="00FA53BB">
              <w:rPr>
                <w:sz w:val="22"/>
                <w:szCs w:val="22"/>
              </w:rPr>
              <w:t>Categorically Excluded Not Subject to Sec. 58.5</w:t>
            </w:r>
          </w:p>
        </w:tc>
      </w:tr>
      <w:tr w:rsidR="00FA53BB" w14:paraId="28ADF797" w14:textId="77777777" w:rsidTr="004604E6">
        <w:tc>
          <w:tcPr>
            <w:tcW w:w="4248" w:type="dxa"/>
          </w:tcPr>
          <w:p w14:paraId="1481F159" w14:textId="77777777" w:rsidR="00FA53BB" w:rsidRPr="00FA53BB" w:rsidRDefault="00FA53BB" w:rsidP="00FA53BB">
            <w:pPr>
              <w:pStyle w:val="Normal1"/>
              <w:jc w:val="left"/>
              <w:rPr>
                <w:sz w:val="22"/>
                <w:szCs w:val="22"/>
              </w:rPr>
            </w:pPr>
            <w:r w:rsidRPr="00FA53BB">
              <w:rPr>
                <w:sz w:val="22"/>
                <w:szCs w:val="22"/>
              </w:rPr>
              <w:t>Economic Development Assistance to For-Profit Entities (activities not associated with construction or expansion)</w:t>
            </w:r>
          </w:p>
        </w:tc>
        <w:tc>
          <w:tcPr>
            <w:tcW w:w="5130" w:type="dxa"/>
            <w:tcBorders>
              <w:right w:val="single" w:sz="4" w:space="0" w:color="auto"/>
            </w:tcBorders>
          </w:tcPr>
          <w:p w14:paraId="5814953C" w14:textId="77777777" w:rsidR="00FA53BB" w:rsidRPr="00FA53BB" w:rsidRDefault="00FA53BB" w:rsidP="00FA53BB">
            <w:pPr>
              <w:pStyle w:val="Normal1"/>
              <w:jc w:val="left"/>
              <w:rPr>
                <w:sz w:val="22"/>
                <w:szCs w:val="22"/>
              </w:rPr>
            </w:pPr>
            <w:r w:rsidRPr="00FA53BB">
              <w:rPr>
                <w:sz w:val="22"/>
                <w:szCs w:val="22"/>
              </w:rPr>
              <w:t>Categorically Excluded Not Subject to Sec. 58.5</w:t>
            </w:r>
          </w:p>
        </w:tc>
      </w:tr>
      <w:tr w:rsidR="00FA53BB" w14:paraId="35352F4B" w14:textId="77777777" w:rsidTr="004604E6">
        <w:tc>
          <w:tcPr>
            <w:tcW w:w="4248" w:type="dxa"/>
          </w:tcPr>
          <w:p w14:paraId="350018B3" w14:textId="77777777" w:rsidR="00FA53BB" w:rsidRPr="00FA53BB" w:rsidRDefault="00FA53BB" w:rsidP="009E264A">
            <w:pPr>
              <w:pStyle w:val="Normal1"/>
              <w:spacing w:before="80" w:after="80"/>
              <w:jc w:val="left"/>
              <w:rPr>
                <w:sz w:val="22"/>
                <w:szCs w:val="22"/>
              </w:rPr>
            </w:pPr>
            <w:r w:rsidRPr="00FA53BB">
              <w:rPr>
                <w:sz w:val="22"/>
                <w:szCs w:val="22"/>
              </w:rPr>
              <w:t>New construction</w:t>
            </w:r>
          </w:p>
          <w:p w14:paraId="5FC05162" w14:textId="77777777" w:rsidR="00FA53BB" w:rsidRPr="00FA53BB" w:rsidRDefault="00FA53BB" w:rsidP="009E264A">
            <w:pPr>
              <w:pStyle w:val="Normal1"/>
              <w:spacing w:before="80" w:after="80"/>
              <w:jc w:val="left"/>
              <w:rPr>
                <w:sz w:val="22"/>
                <w:szCs w:val="22"/>
              </w:rPr>
            </w:pPr>
            <w:r w:rsidRPr="00FA53BB">
              <w:rPr>
                <w:sz w:val="22"/>
                <w:szCs w:val="22"/>
              </w:rPr>
              <w:t>Single family housing construction</w:t>
            </w:r>
          </w:p>
        </w:tc>
        <w:tc>
          <w:tcPr>
            <w:tcW w:w="5130" w:type="dxa"/>
            <w:tcBorders>
              <w:right w:val="single" w:sz="4" w:space="0" w:color="auto"/>
            </w:tcBorders>
          </w:tcPr>
          <w:p w14:paraId="6FFF0BF1" w14:textId="77777777" w:rsidR="00FA53BB" w:rsidRPr="00FA53BB" w:rsidRDefault="00FA53BB" w:rsidP="009E264A">
            <w:pPr>
              <w:pStyle w:val="Normal1"/>
              <w:spacing w:before="80" w:after="80"/>
              <w:jc w:val="left"/>
              <w:rPr>
                <w:sz w:val="22"/>
                <w:szCs w:val="22"/>
              </w:rPr>
            </w:pPr>
            <w:r w:rsidRPr="00FA53BB">
              <w:rPr>
                <w:sz w:val="22"/>
                <w:szCs w:val="22"/>
              </w:rPr>
              <w:t>EA</w:t>
            </w:r>
          </w:p>
          <w:p w14:paraId="267A199C" w14:textId="77777777" w:rsidR="00FA53BB" w:rsidRPr="00FA53BB" w:rsidRDefault="00FA53BB" w:rsidP="009E264A">
            <w:pPr>
              <w:pStyle w:val="Normal1"/>
              <w:spacing w:before="80" w:after="80"/>
              <w:jc w:val="left"/>
              <w:rPr>
                <w:sz w:val="22"/>
                <w:szCs w:val="22"/>
              </w:rPr>
            </w:pPr>
            <w:r w:rsidRPr="00FA53BB">
              <w:rPr>
                <w:sz w:val="22"/>
                <w:szCs w:val="22"/>
              </w:rPr>
              <w:t>Categorically excluded Subject to Sec. 58.5 (under certain conditions) or EA</w:t>
            </w:r>
          </w:p>
        </w:tc>
      </w:tr>
    </w:tbl>
    <w:p w14:paraId="54641DDF" w14:textId="77777777" w:rsidR="00240B19" w:rsidRDefault="00240B19" w:rsidP="00E507E5">
      <w:pPr>
        <w:pStyle w:val="Heading3"/>
        <w:spacing w:before="240"/>
      </w:pPr>
      <w:r>
        <w:lastRenderedPageBreak/>
        <w:t>Exempt Activities</w:t>
      </w:r>
    </w:p>
    <w:p w14:paraId="1FDAD4BF" w14:textId="1AD128FE" w:rsidR="00240B19" w:rsidRDefault="00240B19" w:rsidP="00E507E5">
      <w:pPr>
        <w:pStyle w:val="Normal1"/>
      </w:pPr>
      <w:r>
        <w:t xml:space="preserve">An activity is classified as exempt from compliance with NEPA and the Federal laws and authorities cited at </w:t>
      </w:r>
      <w:r w:rsidR="0024323F">
        <w:t>24 CFR Part 58.</w:t>
      </w:r>
      <w:r w:rsidR="00183D5C">
        <w:t>5</w:t>
      </w:r>
      <w:r>
        <w:t xml:space="preserve"> because there is </w:t>
      </w:r>
      <w:r w:rsidR="00183D5C">
        <w:t xml:space="preserve">generally </w:t>
      </w:r>
      <w:r>
        <w:t>no effect whatsoever on the physical environment.</w:t>
      </w:r>
    </w:p>
    <w:p w14:paraId="292069F9" w14:textId="24E63D26" w:rsidR="00240B19" w:rsidRDefault="00240B19" w:rsidP="00E507E5">
      <w:pPr>
        <w:pStyle w:val="Normal1"/>
      </w:pPr>
      <w:r>
        <w:t>Exempt activities include the following:</w:t>
      </w:r>
    </w:p>
    <w:p w14:paraId="40F548CA" w14:textId="6F168EDF" w:rsidR="00F43C74" w:rsidRDefault="00F43C74" w:rsidP="00E507E5">
      <w:pPr>
        <w:pStyle w:val="Bullet10"/>
      </w:pPr>
      <w:r w:rsidRPr="00006B71">
        <w:t xml:space="preserve">Environmental </w:t>
      </w:r>
      <w:r w:rsidR="001B76ED">
        <w:t xml:space="preserve">and other </w:t>
      </w:r>
      <w:r w:rsidRPr="00006B71">
        <w:t>studies</w:t>
      </w:r>
      <w:r w:rsidR="001B76ED">
        <w:t xml:space="preserve">, resource identification and the development of plans and </w:t>
      </w:r>
      <w:proofErr w:type="gramStart"/>
      <w:r w:rsidR="001B76ED">
        <w:t>strategies;</w:t>
      </w:r>
      <w:proofErr w:type="gramEnd"/>
      <w:r w:rsidR="001B76ED">
        <w:t xml:space="preserve"> </w:t>
      </w:r>
    </w:p>
    <w:p w14:paraId="4316DA24" w14:textId="4F15925D" w:rsidR="00096F05" w:rsidRDefault="00096F05" w:rsidP="00E507E5">
      <w:pPr>
        <w:pStyle w:val="Bullet10"/>
      </w:pPr>
      <w:r>
        <w:t xml:space="preserve">Information and financial </w:t>
      </w:r>
      <w:proofErr w:type="gramStart"/>
      <w:r>
        <w:t>services;</w:t>
      </w:r>
      <w:proofErr w:type="gramEnd"/>
    </w:p>
    <w:p w14:paraId="61E521FC" w14:textId="6CA8AA09" w:rsidR="00096F05" w:rsidRDefault="00096F05" w:rsidP="00E507E5">
      <w:pPr>
        <w:pStyle w:val="Bullet10"/>
      </w:pPr>
      <w:r>
        <w:t xml:space="preserve">Administrative and management </w:t>
      </w:r>
      <w:proofErr w:type="gramStart"/>
      <w:r>
        <w:t>activities;</w:t>
      </w:r>
      <w:proofErr w:type="gramEnd"/>
    </w:p>
    <w:p w14:paraId="37EBB736" w14:textId="0F84C64B" w:rsidR="00096F05" w:rsidRDefault="00096F05" w:rsidP="00E507E5">
      <w:pPr>
        <w:pStyle w:val="Bullet10"/>
      </w:pPr>
      <w:r>
        <w:t>Public services that will not have</w:t>
      </w:r>
      <w:r w:rsidR="00124FDE">
        <w:t xml:space="preserve"> a physical impact or result in any physical changes, including but not limited to </w:t>
      </w:r>
      <w:r w:rsidR="0056415C">
        <w:t xml:space="preserve">services concerned with employment, crime prevention, </w:t>
      </w:r>
      <w:proofErr w:type="gramStart"/>
      <w:r w:rsidR="0056415C">
        <w:t>child care</w:t>
      </w:r>
      <w:proofErr w:type="gramEnd"/>
      <w:r w:rsidR="0056415C">
        <w:t>, health, drug abuse, education, counseling, energy conservation and welfare or recreational needs;</w:t>
      </w:r>
    </w:p>
    <w:p w14:paraId="7078A030" w14:textId="285DB02D" w:rsidR="00BC714F" w:rsidRDefault="00BC714F" w:rsidP="00E507E5">
      <w:pPr>
        <w:pStyle w:val="Bullet10"/>
      </w:pPr>
      <w:r>
        <w:t xml:space="preserve">Inspections and testing of properties for hazards and </w:t>
      </w:r>
      <w:proofErr w:type="gramStart"/>
      <w:r>
        <w:t>defects;</w:t>
      </w:r>
      <w:proofErr w:type="gramEnd"/>
    </w:p>
    <w:p w14:paraId="404276D5" w14:textId="6494501B" w:rsidR="00273B10" w:rsidRDefault="00273B10" w:rsidP="00E507E5">
      <w:pPr>
        <w:pStyle w:val="Bullet10"/>
      </w:pPr>
      <w:r>
        <w:t xml:space="preserve">Purchase of </w:t>
      </w:r>
      <w:proofErr w:type="gramStart"/>
      <w:r>
        <w:t>insurance;</w:t>
      </w:r>
      <w:proofErr w:type="gramEnd"/>
    </w:p>
    <w:p w14:paraId="2C70B5A0" w14:textId="33BC945C" w:rsidR="00273B10" w:rsidRDefault="00273B10" w:rsidP="00E507E5">
      <w:pPr>
        <w:pStyle w:val="Bullet10"/>
      </w:pPr>
      <w:r>
        <w:t xml:space="preserve">Purchase of </w:t>
      </w:r>
      <w:proofErr w:type="gramStart"/>
      <w:r>
        <w:t>tools;</w:t>
      </w:r>
      <w:proofErr w:type="gramEnd"/>
    </w:p>
    <w:p w14:paraId="0BFAB511" w14:textId="4502A581" w:rsidR="00273B10" w:rsidRDefault="00273B10" w:rsidP="00E507E5">
      <w:pPr>
        <w:pStyle w:val="Bullet10"/>
      </w:pPr>
      <w:r>
        <w:t xml:space="preserve">Engineering or design </w:t>
      </w:r>
      <w:proofErr w:type="gramStart"/>
      <w:r>
        <w:t>costs;</w:t>
      </w:r>
      <w:proofErr w:type="gramEnd"/>
    </w:p>
    <w:p w14:paraId="1C5BF34F" w14:textId="3730AF84" w:rsidR="00681641" w:rsidRDefault="00681641" w:rsidP="00E507E5">
      <w:pPr>
        <w:pStyle w:val="Bullet10"/>
      </w:pPr>
      <w:r>
        <w:t xml:space="preserve">Technical assistance and </w:t>
      </w:r>
      <w:proofErr w:type="gramStart"/>
      <w:r>
        <w:t>training;</w:t>
      </w:r>
      <w:proofErr w:type="gramEnd"/>
    </w:p>
    <w:p w14:paraId="21616F12" w14:textId="29A11DF0" w:rsidR="00681641" w:rsidRPr="00983D9A" w:rsidRDefault="00681641" w:rsidP="00E507E5">
      <w:pPr>
        <w:pStyle w:val="Bullet10"/>
        <w:rPr>
          <w:rStyle w:val="cf01"/>
          <w:rFonts w:ascii="Tahoma" w:hAnsi="Tahoma" w:cs="Times New Roman"/>
          <w:sz w:val="24"/>
          <w:szCs w:val="20"/>
        </w:rPr>
      </w:pPr>
      <w:r>
        <w:t>Assistance for temporary</w:t>
      </w:r>
      <w:r w:rsidRPr="00681641">
        <w:rPr>
          <w:rStyle w:val="cf01"/>
          <w:rFonts w:ascii="Tahoma" w:hAnsi="Tahoma" w:cs="Tahoma"/>
          <w:sz w:val="24"/>
          <w:szCs w:val="24"/>
        </w:rPr>
        <w:t xml:space="preserve"> </w:t>
      </w:r>
      <w:r w:rsidRPr="008955B6">
        <w:rPr>
          <w:rStyle w:val="cf01"/>
          <w:rFonts w:ascii="Tahoma" w:hAnsi="Tahoma" w:cs="Tahoma"/>
          <w:sz w:val="24"/>
          <w:szCs w:val="24"/>
        </w:rPr>
        <w:t xml:space="preserve">or permanent improvements that do not alter environmental conditions and are limited to protection, repair, or restoration activities necessary only to control or arrest the effects from disasters or imminent threats to public safety including those resulting from physical </w:t>
      </w:r>
      <w:proofErr w:type="gramStart"/>
      <w:r w:rsidRPr="008955B6">
        <w:rPr>
          <w:rStyle w:val="cf01"/>
          <w:rFonts w:ascii="Tahoma" w:hAnsi="Tahoma" w:cs="Tahoma"/>
          <w:sz w:val="24"/>
          <w:szCs w:val="24"/>
        </w:rPr>
        <w:t>deterioration</w:t>
      </w:r>
      <w:r>
        <w:rPr>
          <w:rStyle w:val="cf01"/>
          <w:rFonts w:ascii="Tahoma" w:hAnsi="Tahoma" w:cs="Tahoma"/>
          <w:sz w:val="24"/>
          <w:szCs w:val="24"/>
        </w:rPr>
        <w:t>;</w:t>
      </w:r>
      <w:proofErr w:type="gramEnd"/>
    </w:p>
    <w:p w14:paraId="57FFDD88" w14:textId="694F31CF" w:rsidR="00F43C74" w:rsidRDefault="00983D9A" w:rsidP="006F0184">
      <w:pPr>
        <w:pStyle w:val="Bullet10"/>
      </w:pPr>
      <w:r>
        <w:rPr>
          <w:rStyle w:val="cf01"/>
          <w:rFonts w:ascii="Tahoma" w:hAnsi="Tahoma" w:cs="Tahoma"/>
          <w:sz w:val="24"/>
          <w:szCs w:val="24"/>
        </w:rPr>
        <w:t>Payment</w:t>
      </w:r>
      <w:r w:rsidR="00F43C74" w:rsidRPr="00983D9A">
        <w:rPr>
          <w:rStyle w:val="cf01"/>
          <w:rFonts w:ascii="Tahoma" w:hAnsi="Tahoma" w:cs="Tahoma"/>
          <w:sz w:val="24"/>
          <w:szCs w:val="24"/>
        </w:rPr>
        <w:t xml:space="preserve"> or principal and interest on loans made or obligations guaranteed by </w:t>
      </w:r>
      <w:proofErr w:type="gramStart"/>
      <w:r w:rsidR="00F43C74" w:rsidRPr="00983D9A">
        <w:rPr>
          <w:rStyle w:val="cf01"/>
          <w:rFonts w:ascii="Tahoma" w:hAnsi="Tahoma" w:cs="Tahoma"/>
          <w:sz w:val="24"/>
          <w:szCs w:val="24"/>
        </w:rPr>
        <w:t>HUD</w:t>
      </w:r>
      <w:r w:rsidR="00E73095" w:rsidRPr="00983D9A">
        <w:rPr>
          <w:rStyle w:val="cf01"/>
          <w:rFonts w:ascii="Tahoma" w:hAnsi="Tahoma" w:cs="Tahoma"/>
          <w:sz w:val="24"/>
          <w:szCs w:val="24"/>
        </w:rPr>
        <w:t>;</w:t>
      </w:r>
      <w:proofErr w:type="gramEnd"/>
      <w:r w:rsidR="00F43C74">
        <w:t xml:space="preserve"> </w:t>
      </w:r>
    </w:p>
    <w:p w14:paraId="0DE28E84" w14:textId="084A60C3" w:rsidR="00F43C74" w:rsidRPr="00006B71" w:rsidRDefault="006F0184" w:rsidP="006F0184">
      <w:pPr>
        <w:pStyle w:val="Bullet10"/>
      </w:pPr>
      <w:r>
        <w:t>Any of the</w:t>
      </w:r>
      <w:r w:rsidR="00F43C74">
        <w:t xml:space="preserve"> categorical exclusions </w:t>
      </w:r>
      <w:r w:rsidR="00F6586B">
        <w:t xml:space="preserve">listed in 58.35(a) </w:t>
      </w:r>
      <w:proofErr w:type="gramStart"/>
      <w:r w:rsidR="00F6586B">
        <w:t>provided that</w:t>
      </w:r>
      <w:proofErr w:type="gramEnd"/>
      <w:r w:rsidR="00F6586B">
        <w:t xml:space="preserve"> there</w:t>
      </w:r>
      <w:r w:rsidR="00F43C74">
        <w:t xml:space="preserve"> are no circumstances which require compliance with any of the environmentally related Federal laws, and authorities listed at Part 58.5 of the regulations</w:t>
      </w:r>
      <w:r w:rsidR="00E73095">
        <w:t>.</w:t>
      </w:r>
    </w:p>
    <w:p w14:paraId="06196B69" w14:textId="11404031" w:rsidR="00240B19" w:rsidRDefault="00A21B42" w:rsidP="00111C78">
      <w:pPr>
        <w:pStyle w:val="Normal1"/>
      </w:pPr>
      <w:r>
        <w:t>Exempt Activity Determination must be</w:t>
      </w:r>
      <w:r w:rsidR="00BB72CA">
        <w:t xml:space="preserve"> recorded on the </w:t>
      </w:r>
      <w:hyperlink w:anchor="CENST_Form" w:history="1">
        <w:r w:rsidR="00BB72CA" w:rsidRPr="00BB47E0">
          <w:rPr>
            <w:rStyle w:val="Hyperlink"/>
            <w:i/>
          </w:rPr>
          <w:t xml:space="preserve">Environmental Review for Project that is Exempt or Categorically Excluded </w:t>
        </w:r>
        <w:r w:rsidR="0012677B" w:rsidRPr="00BB47E0">
          <w:rPr>
            <w:rStyle w:val="Hyperlink"/>
            <w:i/>
          </w:rPr>
          <w:t xml:space="preserve">Not </w:t>
        </w:r>
        <w:r w:rsidR="00BB72CA" w:rsidRPr="00BB47E0">
          <w:rPr>
            <w:rStyle w:val="Hyperlink"/>
            <w:i/>
          </w:rPr>
          <w:t>Subject to 58.5</w:t>
        </w:r>
        <w:r w:rsidR="00A13087" w:rsidRPr="00BB47E0">
          <w:rPr>
            <w:rStyle w:val="Hyperlink"/>
          </w:rPr>
          <w:t xml:space="preserve"> (CE</w:t>
        </w:r>
        <w:r w:rsidR="0012677B" w:rsidRPr="00BB47E0">
          <w:rPr>
            <w:rStyle w:val="Hyperlink"/>
          </w:rPr>
          <w:t>N</w:t>
        </w:r>
        <w:r w:rsidR="00A13087" w:rsidRPr="00BB47E0">
          <w:rPr>
            <w:rStyle w:val="Hyperlink"/>
          </w:rPr>
          <w:t>ST)</w:t>
        </w:r>
      </w:hyperlink>
      <w:r w:rsidR="0012677B">
        <w:t xml:space="preserve"> or the </w:t>
      </w:r>
      <w:hyperlink w:anchor="CEST_Form" w:history="1">
        <w:r w:rsidR="00E647FC" w:rsidRPr="00BB47E0">
          <w:rPr>
            <w:rStyle w:val="Hyperlink"/>
            <w:i/>
          </w:rPr>
          <w:t xml:space="preserve">Environmental Review for </w:t>
        </w:r>
        <w:r w:rsidR="0012677B" w:rsidRPr="00BB47E0">
          <w:rPr>
            <w:rStyle w:val="Hyperlink"/>
            <w:i/>
          </w:rPr>
          <w:t>Project that is Categorically Excluded Subject to 58.5</w:t>
        </w:r>
        <w:r w:rsidR="0012677B" w:rsidRPr="00BB47E0">
          <w:rPr>
            <w:rStyle w:val="Hyperlink"/>
          </w:rPr>
          <w:t xml:space="preserve"> (CEST)</w:t>
        </w:r>
      </w:hyperlink>
      <w:r w:rsidR="00BB72CA">
        <w:t>.</w:t>
      </w:r>
    </w:p>
    <w:p w14:paraId="183A3CA4" w14:textId="12D88729" w:rsidR="00240B19" w:rsidRPr="004F6594" w:rsidRDefault="00240B19" w:rsidP="00111C78">
      <w:pPr>
        <w:pStyle w:val="Bullet10"/>
        <w:numPr>
          <w:ilvl w:val="0"/>
          <w:numId w:val="0"/>
        </w:numPr>
      </w:pPr>
      <w:r>
        <w:t>The recipient is also responsible for documenting whether or not compliance with</w:t>
      </w:r>
      <w:r w:rsidR="005E38A9">
        <w:t xml:space="preserve"> </w:t>
      </w:r>
      <w:r w:rsidR="00CF0A85">
        <w:t>the requirements list</w:t>
      </w:r>
      <w:r w:rsidR="009E40FF">
        <w:t>ed</w:t>
      </w:r>
      <w:r w:rsidR="00CF0A85">
        <w:t xml:space="preserve"> in </w:t>
      </w:r>
      <w:hyperlink r:id="rId17" w:history="1">
        <w:r w:rsidR="00E247D8" w:rsidRPr="00BB47E0">
          <w:rPr>
            <w:rStyle w:val="Hyperlink"/>
          </w:rPr>
          <w:t xml:space="preserve">24 CFR Part </w:t>
        </w:r>
        <w:r w:rsidR="00BC34E2" w:rsidRPr="00BB47E0">
          <w:rPr>
            <w:rStyle w:val="Hyperlink"/>
          </w:rPr>
          <w:t>58.6</w:t>
        </w:r>
      </w:hyperlink>
      <w:r w:rsidR="0012677B">
        <w:t xml:space="preserve"> </w:t>
      </w:r>
      <w:r w:rsidR="0054419A">
        <w:t xml:space="preserve">are </w:t>
      </w:r>
      <w:r>
        <w:t>applicable to the project.</w:t>
      </w:r>
      <w:r w:rsidR="00C15968">
        <w:t xml:space="preserve">  Document </w:t>
      </w:r>
      <w:r w:rsidR="00C15968">
        <w:lastRenderedPageBreak/>
        <w:t>compliance with these requirements by attaching maps or other source documentation showing the project in relation to these areas or facilities.</w:t>
      </w:r>
    </w:p>
    <w:p w14:paraId="0D351A7A" w14:textId="67CF1FEC" w:rsidR="00240B19" w:rsidRPr="004F6594" w:rsidRDefault="00BB72CA" w:rsidP="00111C78">
      <w:pPr>
        <w:pStyle w:val="Bullet10"/>
        <w:numPr>
          <w:ilvl w:val="0"/>
          <w:numId w:val="0"/>
        </w:numPr>
      </w:pPr>
      <w:r>
        <w:t xml:space="preserve">Environmental Review </w:t>
      </w:r>
      <w:r w:rsidR="0087440E">
        <w:t xml:space="preserve">forms </w:t>
      </w:r>
      <w:r>
        <w:t xml:space="preserve">for </w:t>
      </w:r>
      <w:r w:rsidR="00A13087">
        <w:t>CEST</w:t>
      </w:r>
      <w:r w:rsidR="0012677B">
        <w:t xml:space="preserve"> and CENST</w:t>
      </w:r>
      <w:r w:rsidR="00C76760">
        <w:t xml:space="preserve"> </w:t>
      </w:r>
      <w:r w:rsidR="0087440E">
        <w:t xml:space="preserve">projects </w:t>
      </w:r>
      <w:r w:rsidR="00240B19">
        <w:t>are included in the attachments of</w:t>
      </w:r>
      <w:r w:rsidR="00BC34E2">
        <w:t xml:space="preserve"> </w:t>
      </w:r>
      <w:r w:rsidR="00240B19">
        <w:t>thi</w:t>
      </w:r>
      <w:r w:rsidR="00B22DF4">
        <w:t xml:space="preserve">s </w:t>
      </w:r>
      <w:r w:rsidR="00240B19">
        <w:t xml:space="preserve">chapter.  </w:t>
      </w:r>
    </w:p>
    <w:p w14:paraId="063ECC0C" w14:textId="00C34F6A" w:rsidR="00240B19" w:rsidRPr="0012677B" w:rsidRDefault="00843C0B" w:rsidP="00111C78">
      <w:pPr>
        <w:pStyle w:val="Bullet10"/>
        <w:numPr>
          <w:ilvl w:val="0"/>
          <w:numId w:val="0"/>
        </w:numPr>
      </w:pPr>
      <w:r>
        <w:t>As previously noted, t</w:t>
      </w:r>
      <w:r w:rsidR="0054419A">
        <w:t>he Environmental Review</w:t>
      </w:r>
      <w:r w:rsidR="00240B19">
        <w:t xml:space="preserve"> must be signed by the certifying officer and a copy sent to </w:t>
      </w:r>
      <w:r w:rsidR="005C1C57">
        <w:t xml:space="preserve">the </w:t>
      </w:r>
      <w:r w:rsidR="00B93BAF">
        <w:t xml:space="preserve">State </w:t>
      </w:r>
      <w:r w:rsidR="00240B19">
        <w:t xml:space="preserve">for review.  The original is retained by the recipient in the ERR.  </w:t>
      </w:r>
    </w:p>
    <w:p w14:paraId="32268EF3" w14:textId="6F3EF321" w:rsidR="00240B19" w:rsidRPr="004F6594" w:rsidDel="00F16D7E" w:rsidRDefault="00240B19" w:rsidP="00111C78">
      <w:pPr>
        <w:pStyle w:val="Bullet10"/>
        <w:numPr>
          <w:ilvl w:val="0"/>
          <w:numId w:val="0"/>
        </w:numPr>
      </w:pPr>
      <w:r>
        <w:t xml:space="preserve">Once </w:t>
      </w:r>
      <w:r w:rsidR="005C1C57">
        <w:t xml:space="preserve">the </w:t>
      </w:r>
      <w:r w:rsidR="00B93BAF">
        <w:t>State</w:t>
      </w:r>
      <w:r w:rsidR="005C1C57">
        <w:t xml:space="preserve"> </w:t>
      </w:r>
      <w:r>
        <w:t xml:space="preserve">has accepted other documentation indicated on the Start-Up Checklist, funds may be drawn down using standard procedures. </w:t>
      </w:r>
    </w:p>
    <w:p w14:paraId="0C46C8A9" w14:textId="77777777" w:rsidR="00240B19" w:rsidRPr="00C94705" w:rsidRDefault="00240B19" w:rsidP="00FA649D">
      <w:pPr>
        <w:pStyle w:val="Heading3"/>
      </w:pPr>
      <w:r w:rsidRPr="00C94705">
        <w:t>Categorically Excluded Activities</w:t>
      </w:r>
    </w:p>
    <w:p w14:paraId="75B36CD0" w14:textId="49641683" w:rsidR="000F4A60" w:rsidRPr="00B86F2A" w:rsidRDefault="00000000" w:rsidP="00FA649D">
      <w:pPr>
        <w:pStyle w:val="Heading4"/>
        <w:rPr>
          <w:rFonts w:cs="Tahoma"/>
          <w:szCs w:val="24"/>
        </w:rPr>
      </w:pPr>
      <w:hyperlink w:anchor="CENST_Def" w:history="1">
        <w:r w:rsidR="000F4A60" w:rsidRPr="007A24F2">
          <w:rPr>
            <w:rStyle w:val="Hyperlink"/>
          </w:rPr>
          <w:t>Categorically Excluded Not Subject to 58.5</w:t>
        </w:r>
      </w:hyperlink>
      <w:r w:rsidR="00B86F2A">
        <w:rPr>
          <w:rStyle w:val="Hyperlink"/>
          <w:rFonts w:ascii="Arial" w:hAnsi="Arial"/>
          <w:b w:val="0"/>
          <w:i w:val="0"/>
          <w:snapToGrid/>
          <w:sz w:val="16"/>
          <w:szCs w:val="16"/>
        </w:rPr>
        <w:t xml:space="preserve">  </w:t>
      </w:r>
      <w:r w:rsidR="00B86F2A" w:rsidRPr="00657DD9">
        <w:rPr>
          <w:rStyle w:val="Hyperlink"/>
          <w:rFonts w:cs="Tahoma"/>
          <w:b w:val="0"/>
          <w:snapToGrid/>
          <w:szCs w:val="24"/>
        </w:rPr>
        <w:t>(CENST)</w:t>
      </w:r>
    </w:p>
    <w:p w14:paraId="7F62630A" w14:textId="3B5C1888" w:rsidR="000F4A60" w:rsidRDefault="000F4A60" w:rsidP="00FA649D">
      <w:pPr>
        <w:pStyle w:val="Normal1"/>
      </w:pPr>
      <w:r>
        <w:t xml:space="preserve">When a project consists solely of activities listed in this section, the CDBG recipient does not have to publish or post the </w:t>
      </w:r>
      <w:hyperlink w:anchor="NOI_RROF" w:history="1">
        <w:r w:rsidRPr="00D71148">
          <w:rPr>
            <w:rStyle w:val="Hyperlink"/>
            <w:i/>
          </w:rPr>
          <w:t>Notice of Intent to Request Release of Funds</w:t>
        </w:r>
        <w:r w:rsidRPr="00D71148">
          <w:rPr>
            <w:rStyle w:val="Hyperlink"/>
          </w:rPr>
          <w:t xml:space="preserve"> (</w:t>
        </w:r>
        <w:r w:rsidRPr="00D71148">
          <w:rPr>
            <w:rStyle w:val="Hyperlink"/>
            <w:i/>
          </w:rPr>
          <w:t>NOI/RROF</w:t>
        </w:r>
        <w:r w:rsidRPr="00D71148">
          <w:rPr>
            <w:rStyle w:val="Hyperlink"/>
          </w:rPr>
          <w:t>)</w:t>
        </w:r>
      </w:hyperlink>
      <w:r>
        <w:t xml:space="preserve"> or execute the certification that is a part of that document.  The Recipient must, however, complete the </w:t>
      </w:r>
      <w:hyperlink w:anchor="CENST_Form" w:history="1">
        <w:r w:rsidR="00D71148" w:rsidRPr="00D71148">
          <w:rPr>
            <w:rStyle w:val="Hyperlink"/>
            <w:i/>
          </w:rPr>
          <w:t>Environmental Review for CENST</w:t>
        </w:r>
      </w:hyperlink>
      <w:r w:rsidRPr="00E239F9">
        <w:rPr>
          <w:i/>
        </w:rPr>
        <w:t xml:space="preserve"> </w:t>
      </w:r>
      <w:r>
        <w:t>and submit a copy to the State for review and approval prior to committing any funds.</w:t>
      </w:r>
    </w:p>
    <w:p w14:paraId="7C7E8405" w14:textId="77777777" w:rsidR="000F4A60" w:rsidRDefault="000F4A60" w:rsidP="00FA649D">
      <w:pPr>
        <w:pStyle w:val="Normal1"/>
      </w:pPr>
      <w:r>
        <w:t>The following activities, listed at 24 CFR Part 58.35(b), have been determined to be categorically excluded from NEPA requirements and are not subject to Section 58.5 compliance determinations:</w:t>
      </w:r>
    </w:p>
    <w:p w14:paraId="1C9BAABB" w14:textId="79F4E6BB" w:rsidR="000F4A60" w:rsidRPr="00E239F9" w:rsidRDefault="000F4A60" w:rsidP="00FA649D">
      <w:pPr>
        <w:pStyle w:val="Bullet10"/>
      </w:pPr>
      <w:r>
        <w:t xml:space="preserve">Tenant based rental </w:t>
      </w:r>
      <w:proofErr w:type="gramStart"/>
      <w:r>
        <w:t>assistance</w:t>
      </w:r>
      <w:r w:rsidR="00E73095">
        <w:t>;</w:t>
      </w:r>
      <w:proofErr w:type="gramEnd"/>
    </w:p>
    <w:p w14:paraId="2909D5F7" w14:textId="77777777" w:rsidR="00D9344A" w:rsidRDefault="000F4A60" w:rsidP="00D852C0">
      <w:pPr>
        <w:pStyle w:val="Bullet10"/>
      </w:pPr>
      <w:r>
        <w:t xml:space="preserve">Supportive services including but not limited to health care, housing services, permanent housing placement, short term payments for rent/mortgage/utility costs, and assistance in gaining access to local, state and federal government </w:t>
      </w:r>
      <w:proofErr w:type="gramStart"/>
      <w:r>
        <w:t>services</w:t>
      </w:r>
      <w:r w:rsidR="00E73095">
        <w:t>;</w:t>
      </w:r>
      <w:proofErr w:type="gramEnd"/>
    </w:p>
    <w:p w14:paraId="26334D7B" w14:textId="446EA6CE" w:rsidR="00831995" w:rsidRDefault="00831995" w:rsidP="00D852C0">
      <w:pPr>
        <w:pStyle w:val="Bullet10"/>
      </w:pPr>
      <w:r>
        <w:t>Operating costs, including</w:t>
      </w:r>
      <w:r w:rsidRPr="00831995">
        <w:t xml:space="preserve"> </w:t>
      </w:r>
      <w:r w:rsidRPr="00E239F9">
        <w:t xml:space="preserve">maintenance, security, operation, utilities, furnishings, equipment, supplies, staff training, recruitment, and other incidental </w:t>
      </w:r>
      <w:proofErr w:type="gramStart"/>
      <w:r w:rsidRPr="00E239F9">
        <w:t>costs</w:t>
      </w:r>
      <w:r>
        <w:t>;</w:t>
      </w:r>
      <w:proofErr w:type="gramEnd"/>
    </w:p>
    <w:p w14:paraId="381429BD" w14:textId="1340D502" w:rsidR="00831995" w:rsidRPr="00E239F9" w:rsidRDefault="00831995" w:rsidP="00831995">
      <w:pPr>
        <w:pStyle w:val="Bullet10"/>
      </w:pPr>
      <w:r>
        <w:t>Economic development</w:t>
      </w:r>
      <w:r w:rsidRPr="00831995">
        <w:t xml:space="preserve"> </w:t>
      </w:r>
      <w:r>
        <w:t xml:space="preserve">activities including, but not limited to, equipment purchase, inventory financing, interest subsidy, operating expenses and similar costs not associated with construction or expansion of existing </w:t>
      </w:r>
      <w:proofErr w:type="gramStart"/>
      <w:r>
        <w:t>operations;</w:t>
      </w:r>
      <w:proofErr w:type="gramEnd"/>
    </w:p>
    <w:p w14:paraId="3CD82BBE" w14:textId="7891FA6B" w:rsidR="00831995" w:rsidRDefault="00831995" w:rsidP="00767AA1">
      <w:pPr>
        <w:pStyle w:val="Bullet10"/>
        <w:numPr>
          <w:ilvl w:val="0"/>
          <w:numId w:val="0"/>
        </w:numPr>
        <w:ind w:left="720"/>
      </w:pPr>
    </w:p>
    <w:p w14:paraId="6964483A" w14:textId="4E5DACBD" w:rsidR="000F4A60" w:rsidRPr="00E239F9" w:rsidRDefault="000F4A60" w:rsidP="00C73F6B">
      <w:pPr>
        <w:pStyle w:val="Bullet10"/>
      </w:pPr>
      <w:r w:rsidRPr="00E239F9">
        <w:rPr>
          <w:noProof/>
        </w:rPr>
        <w:lastRenderedPageBreak/>
        <mc:AlternateContent>
          <mc:Choice Requires="wps">
            <w:drawing>
              <wp:anchor distT="0" distB="0" distL="114300" distR="114300" simplePos="0" relativeHeight="251669504" behindDoc="1" locked="0" layoutInCell="1" allowOverlap="1" wp14:anchorId="7AA8918F" wp14:editId="5C8D2A93">
                <wp:simplePos x="0" y="0"/>
                <wp:positionH relativeFrom="column">
                  <wp:posOffset>3650305</wp:posOffset>
                </wp:positionH>
                <wp:positionV relativeFrom="paragraph">
                  <wp:posOffset>479425</wp:posOffset>
                </wp:positionV>
                <wp:extent cx="2112010" cy="2604770"/>
                <wp:effectExtent l="0" t="0" r="97790" b="100330"/>
                <wp:wrapTight wrapText="left">
                  <wp:wrapPolygon edited="0">
                    <wp:start x="0" y="0"/>
                    <wp:lineTo x="0" y="21800"/>
                    <wp:lineTo x="390" y="22274"/>
                    <wp:lineTo x="22405" y="22274"/>
                    <wp:lineTo x="22405" y="632"/>
                    <wp:lineTo x="22016" y="0"/>
                    <wp:lineTo x="0" y="0"/>
                  </wp:wrapPolygon>
                </wp:wrapTight>
                <wp:docPr id="7320770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260477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1D540C17" w14:textId="265B8C9A" w:rsidR="00836732" w:rsidRDefault="00836732" w:rsidP="000F4A60">
                            <w:pPr>
                              <w:pStyle w:val="Normal1"/>
                              <w:jc w:val="left"/>
                            </w:pPr>
                            <w:r>
                              <w:t xml:space="preserve">Although these activities are not subject to 58.5, the recipient </w:t>
                            </w:r>
                            <w:r w:rsidRPr="004604E6">
                              <w:rPr>
                                <w:b/>
                                <w:bCs/>
                              </w:rPr>
                              <w:t>must demonstrate that the activities will not occur in a runway clear zone or coastal barrier island and comply with Flood Disaster Protection</w:t>
                            </w:r>
                            <w:r>
                              <w:t xml:space="preserve"> as required by 24 CFR Part 58.6. If you have any questions, reach out to the State.</w:t>
                            </w:r>
                          </w:p>
                          <w:p w14:paraId="3C609397" w14:textId="77777777" w:rsidR="00836732" w:rsidRDefault="00836732" w:rsidP="000F4A60">
                            <w:pPr>
                              <w:rPr>
                                <w:b/>
                              </w:rPr>
                            </w:pPr>
                          </w:p>
                          <w:p w14:paraId="600ADB66" w14:textId="77777777" w:rsidR="00836732" w:rsidRDefault="00836732" w:rsidP="000F4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918F" id="Text Box 22" o:spid="_x0000_s1028" type="#_x0000_t202" style="position:absolute;left:0;text-align:left;margin-left:287.45pt;margin-top:37.75pt;width:166.3pt;height:20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" strokeweight="1.5pt">
                <v:shadow on="t" offset="6pt,6pt"/>
                <v:textbox>
                  <w:txbxContent>
                    <w:p w14:paraId="1D540C17" w14:textId="265B8C9A" w:rsidR="00836732" w:rsidRDefault="00836732" w:rsidP="000F4A60">
                      <w:pPr>
                        <w:pStyle w:val="Normal1"/>
                        <w:jc w:val="left"/>
                      </w:pPr>
                      <w:r>
                        <w:t xml:space="preserve">Although these activities are not subject to 58.5, the recipient </w:t>
                      </w:r>
                      <w:r w:rsidRPr="004604E6">
                        <w:rPr>
                          <w:b/>
                          <w:bCs/>
                        </w:rPr>
                        <w:t>must demonstrate that the activities will not occur in a runway clear zone or coastal barrier island and comply with Flood Disaster Protection</w:t>
                      </w:r>
                      <w:r>
                        <w:t xml:space="preserve"> as required by 24 CFR Part 58.6. If you have any questions, reach out to the State.</w:t>
                      </w:r>
                    </w:p>
                    <w:p w14:paraId="3C609397" w14:textId="77777777" w:rsidR="00836732" w:rsidRDefault="00836732" w:rsidP="000F4A60">
                      <w:pPr>
                        <w:rPr>
                          <w:b/>
                        </w:rPr>
                      </w:pPr>
                    </w:p>
                    <w:p w14:paraId="600ADB66" w14:textId="77777777" w:rsidR="00836732" w:rsidRDefault="00836732" w:rsidP="000F4A60"/>
                  </w:txbxContent>
                </v:textbox>
                <w10:wrap type="tight" side="left"/>
              </v:shape>
            </w:pict>
          </mc:Fallback>
        </mc:AlternateContent>
      </w:r>
      <w:r>
        <w:t xml:space="preserve">Activities to assist homeownership of existing dwelling units or dwelling units under construction, including closing costs and down payment assistance to home buyers, interest buy downs, and similar activities that result in the transfer of title to a </w:t>
      </w:r>
      <w:proofErr w:type="gramStart"/>
      <w:r>
        <w:t>property</w:t>
      </w:r>
      <w:r w:rsidR="00E73095">
        <w:t>;</w:t>
      </w:r>
      <w:proofErr w:type="gramEnd"/>
    </w:p>
    <w:p w14:paraId="4733B89B" w14:textId="6C227B5D" w:rsidR="000F4A60" w:rsidRPr="00E239F9" w:rsidRDefault="000F4A60" w:rsidP="009715D0">
      <w:pPr>
        <w:pStyle w:val="Bullet10"/>
      </w:pPr>
      <w:r>
        <w:t>Affordable housing predevelopment costs including legal, consulting, developer and other costs related to obtaining site options, project financing, administrative costs and fees for loan commitments, zoning approvals, and other related activities which do not have a physical impact</w:t>
      </w:r>
      <w:r w:rsidR="00E73095">
        <w:t>; and</w:t>
      </w:r>
    </w:p>
    <w:p w14:paraId="263DDC7D" w14:textId="67282C36" w:rsidR="000F4A60" w:rsidRDefault="000F4A60" w:rsidP="009715D0">
      <w:pPr>
        <w:pStyle w:val="Bullet10"/>
      </w:pPr>
      <w:r>
        <w:t>Approval of supplemental assistance (including insurance or guarantee) to a project previously approved, if the approval is made by the same responsible entity that conducted the environmental review on the original project and re-evaluation of the environmental findings is not required under 24 CFR Part 58.47</w:t>
      </w:r>
      <w:r w:rsidR="00E73095">
        <w:t>.</w:t>
      </w:r>
    </w:p>
    <w:p w14:paraId="0809D315" w14:textId="77777777" w:rsidR="00D709C3" w:rsidRPr="00E239F9" w:rsidRDefault="00D709C3" w:rsidP="004604E6">
      <w:pPr>
        <w:pStyle w:val="Bullet10"/>
        <w:numPr>
          <w:ilvl w:val="0"/>
          <w:numId w:val="0"/>
        </w:numPr>
        <w:ind w:left="1440"/>
      </w:pPr>
    </w:p>
    <w:p w14:paraId="2EE1B17C" w14:textId="554CB175" w:rsidR="000F4A60" w:rsidRPr="000F4A60" w:rsidRDefault="00000000" w:rsidP="00D556E6">
      <w:pPr>
        <w:pStyle w:val="Heading4"/>
      </w:pPr>
      <w:hyperlink w:anchor="CEST_Def" w:history="1">
        <w:r w:rsidR="00240B19" w:rsidRPr="007A24F2">
          <w:rPr>
            <w:rStyle w:val="Hyperlink"/>
          </w:rPr>
          <w:t xml:space="preserve">Categorically Excluded </w:t>
        </w:r>
        <w:r w:rsidR="00240B19" w:rsidRPr="004604E6">
          <w:rPr>
            <w:rStyle w:val="Hyperlink"/>
          </w:rPr>
          <w:t>Subject to</w:t>
        </w:r>
        <w:r w:rsidR="00240B19" w:rsidRPr="007A24F2">
          <w:rPr>
            <w:rStyle w:val="Hyperlink"/>
          </w:rPr>
          <w:t xml:space="preserve"> 58.5</w:t>
        </w:r>
      </w:hyperlink>
      <w:r w:rsidR="00B86F2A">
        <w:rPr>
          <w:rStyle w:val="Hyperlink"/>
        </w:rPr>
        <w:t xml:space="preserve"> (CEST)</w:t>
      </w:r>
    </w:p>
    <w:p w14:paraId="1BD80CAF" w14:textId="1FA51CB9" w:rsidR="00C61FE8" w:rsidRDefault="00862705" w:rsidP="00D556E6">
      <w:pPr>
        <w:pStyle w:val="Normal1"/>
      </w:pPr>
      <w:r>
        <w:t>There is a list of activities that are categorically excluded from NEPA requirements</w:t>
      </w:r>
      <w:r w:rsidR="00565A7B">
        <w:t xml:space="preserve"> found at </w:t>
      </w:r>
      <w:hyperlink r:id="rId18" w:history="1">
        <w:r w:rsidR="00565A7B" w:rsidRPr="00B1767F">
          <w:rPr>
            <w:rStyle w:val="Hyperlink"/>
          </w:rPr>
          <w:t>24 C</w:t>
        </w:r>
        <w:r w:rsidR="00BC34E2" w:rsidRPr="00B1767F">
          <w:rPr>
            <w:rStyle w:val="Hyperlink"/>
          </w:rPr>
          <w:t>FR</w:t>
        </w:r>
        <w:r w:rsidR="00565A7B" w:rsidRPr="00B1767F">
          <w:rPr>
            <w:rStyle w:val="Hyperlink"/>
          </w:rPr>
          <w:t xml:space="preserve"> Part 58.35</w:t>
        </w:r>
      </w:hyperlink>
      <w:r w:rsidR="00565A7B">
        <w:t xml:space="preserve">. </w:t>
      </w:r>
      <w:r>
        <w:t>However, the</w:t>
      </w:r>
      <w:r w:rsidR="00EB6F94">
        <w:t xml:space="preserve">se </w:t>
      </w:r>
      <w:r>
        <w:t xml:space="preserve">activities  are still subject to </w:t>
      </w:r>
      <w:r w:rsidR="00F960D3">
        <w:t>the</w:t>
      </w:r>
      <w:r>
        <w:t xml:space="preserve"> regulations and authorities</w:t>
      </w:r>
      <w:r w:rsidR="00565A7B">
        <w:t xml:space="preserve"> </w:t>
      </w:r>
      <w:r w:rsidR="00F960D3">
        <w:t xml:space="preserve">listed in </w:t>
      </w:r>
      <w:hyperlink r:id="rId19" w:history="1">
        <w:r w:rsidR="00F960D3" w:rsidRPr="00C61FE8">
          <w:rPr>
            <w:rStyle w:val="Hyperlink"/>
          </w:rPr>
          <w:t>24 CFR Part 58.5.</w:t>
        </w:r>
      </w:hyperlink>
      <w:r w:rsidR="009A1960">
        <w:t xml:space="preserve"> </w:t>
      </w:r>
      <w:r>
        <w:t>It is the responsibility of the grantees to determine if their categorically excluded activities are subject to these other regulations or not. D</w:t>
      </w:r>
      <w:r w:rsidR="00240B19">
        <w:t>eterminations should be based upon verifiable source documents, relevant base data, and consultation with oversight agencies, and must be documented in writing.</w:t>
      </w:r>
    </w:p>
    <w:p w14:paraId="1C3BEEF2" w14:textId="23C2F3DE" w:rsidR="00240B19" w:rsidRDefault="00240B19" w:rsidP="00D556E6">
      <w:pPr>
        <w:pStyle w:val="Normal1"/>
      </w:pPr>
      <w:r>
        <w:t xml:space="preserve">The following are </w:t>
      </w:r>
      <w:r w:rsidR="00793F7F">
        <w:t>c</w:t>
      </w:r>
      <w:r>
        <w:t xml:space="preserve">ategorically </w:t>
      </w:r>
      <w:r w:rsidR="00793F7F">
        <w:t>e</w:t>
      </w:r>
      <w:r>
        <w:t>xcluded activities subject to 58.5:</w:t>
      </w:r>
    </w:p>
    <w:p w14:paraId="424A6E37" w14:textId="091259F4" w:rsidR="00240B19" w:rsidRPr="002B6E83" w:rsidRDefault="00240B19" w:rsidP="00D556E6">
      <w:pPr>
        <w:pStyle w:val="Bullet10"/>
      </w:pPr>
      <w:r>
        <w:t xml:space="preserve">Acquisition, repair, improvement, reconstruction, or rehabilitation of public facilities and improvements (other than buildings) when the facilities and improvements are in place and will be retained in the same use without change in size, or capacity of more than 20 </w:t>
      </w:r>
      <w:proofErr w:type="gramStart"/>
      <w:r>
        <w:t>percent</w:t>
      </w:r>
      <w:r w:rsidR="00E73095">
        <w:t>;</w:t>
      </w:r>
      <w:proofErr w:type="gramEnd"/>
    </w:p>
    <w:p w14:paraId="3C730594" w14:textId="20119D80" w:rsidR="00240B19" w:rsidRPr="002B6E83" w:rsidRDefault="00240B19" w:rsidP="00D556E6">
      <w:pPr>
        <w:pStyle w:val="Bullet10"/>
      </w:pPr>
      <w:r>
        <w:t>Special projects directed toward the removal of material and architectural barriers that restrict the mobility of and accessibility to elderly and disabled persons</w:t>
      </w:r>
      <w:r w:rsidR="00E73095">
        <w:t>; and</w:t>
      </w:r>
    </w:p>
    <w:p w14:paraId="23A9D130" w14:textId="77777777" w:rsidR="00240B19" w:rsidRPr="002B6E83" w:rsidRDefault="00240B19" w:rsidP="00D556E6">
      <w:pPr>
        <w:pStyle w:val="Bullet10"/>
      </w:pPr>
      <w:r>
        <w:t>Rehabilitation of buildings and improvements when the following conditions are met:</w:t>
      </w:r>
    </w:p>
    <w:p w14:paraId="5D4DD6F9" w14:textId="52CEFD02" w:rsidR="004F052D" w:rsidRPr="00132ED1" w:rsidRDefault="00240B19" w:rsidP="00124914">
      <w:pPr>
        <w:pStyle w:val="Bullet2"/>
        <w:ind w:left="1080"/>
      </w:pPr>
      <w:r w:rsidRPr="00132ED1">
        <w:lastRenderedPageBreak/>
        <w:t>For single family (one to four units) residential buildings:</w:t>
      </w:r>
    </w:p>
    <w:p w14:paraId="121233AE" w14:textId="2A669743" w:rsidR="004F052D" w:rsidRPr="004F052D" w:rsidRDefault="00240B19" w:rsidP="00124914">
      <w:pPr>
        <w:pStyle w:val="Bullet2"/>
        <w:numPr>
          <w:ilvl w:val="1"/>
          <w:numId w:val="10"/>
        </w:numPr>
        <w:rPr>
          <w:szCs w:val="24"/>
        </w:rPr>
      </w:pPr>
      <w:r w:rsidRPr="004F052D">
        <w:rPr>
          <w:szCs w:val="24"/>
        </w:rPr>
        <w:t xml:space="preserve">Unit density is </w:t>
      </w:r>
      <w:r w:rsidR="00FA53BB" w:rsidRPr="004F052D">
        <w:rPr>
          <w:szCs w:val="24"/>
        </w:rPr>
        <w:t>not increased beyond four units</w:t>
      </w:r>
      <w:r w:rsidR="00E73095">
        <w:rPr>
          <w:szCs w:val="24"/>
        </w:rPr>
        <w:t>; and</w:t>
      </w:r>
    </w:p>
    <w:p w14:paraId="3EF58A8E" w14:textId="3CC5A1F5" w:rsidR="00FA53BB" w:rsidRPr="004F052D" w:rsidRDefault="00240B19" w:rsidP="00124914">
      <w:pPr>
        <w:pStyle w:val="Bullet2"/>
        <w:numPr>
          <w:ilvl w:val="1"/>
          <w:numId w:val="10"/>
        </w:numPr>
        <w:rPr>
          <w:szCs w:val="24"/>
        </w:rPr>
      </w:pPr>
      <w:r w:rsidRPr="004F052D">
        <w:rPr>
          <w:szCs w:val="24"/>
        </w:rPr>
        <w:t>The land use is not changed</w:t>
      </w:r>
      <w:r w:rsidR="00E73095">
        <w:rPr>
          <w:szCs w:val="24"/>
        </w:rPr>
        <w:t>.</w:t>
      </w:r>
    </w:p>
    <w:p w14:paraId="6CD138B5" w14:textId="77777777" w:rsidR="00240B19" w:rsidRPr="002B6E83" w:rsidRDefault="00240B19" w:rsidP="00124914">
      <w:pPr>
        <w:pStyle w:val="Bullet2"/>
        <w:ind w:left="1080"/>
      </w:pPr>
      <w:r w:rsidRPr="002B6E83">
        <w:t xml:space="preserve">For </w:t>
      </w:r>
      <w:r w:rsidR="00A77141">
        <w:t xml:space="preserve">multi-family </w:t>
      </w:r>
      <w:r w:rsidRPr="002B6E83">
        <w:t>residential structures:</w:t>
      </w:r>
    </w:p>
    <w:p w14:paraId="317970C4" w14:textId="77777777" w:rsidR="00240B19" w:rsidRDefault="00240B19" w:rsidP="000D07E1">
      <w:pPr>
        <w:pStyle w:val="Bullet3"/>
        <w:numPr>
          <w:ilvl w:val="0"/>
          <w:numId w:val="33"/>
        </w:numPr>
        <w:ind w:left="1440"/>
      </w:pPr>
      <w:r>
        <w:t>Unit density is not changed more than 20 percent;</w:t>
      </w:r>
    </w:p>
    <w:p w14:paraId="1AE7D02B" w14:textId="77777777" w:rsidR="00240B19" w:rsidRDefault="00240B19" w:rsidP="000D07E1">
      <w:pPr>
        <w:pStyle w:val="Bullet3"/>
        <w:numPr>
          <w:ilvl w:val="0"/>
          <w:numId w:val="33"/>
        </w:numPr>
        <w:ind w:left="1440"/>
      </w:pPr>
      <w:r>
        <w:t>The project does not involve changes in land use from residential to non-residential; and</w:t>
      </w:r>
    </w:p>
    <w:p w14:paraId="4A29C79B" w14:textId="77777777" w:rsidR="00240B19" w:rsidRDefault="00240B19" w:rsidP="000D07E1">
      <w:pPr>
        <w:pStyle w:val="Bullet3"/>
        <w:numPr>
          <w:ilvl w:val="0"/>
          <w:numId w:val="33"/>
        </w:numPr>
        <w:spacing w:after="240"/>
        <w:ind w:left="1440"/>
      </w:pPr>
      <w:r>
        <w:t>The estimated costs of rehabilitation is less than 75 percent of the total estimated replacement cost after rehabilitation.</w:t>
      </w:r>
    </w:p>
    <w:p w14:paraId="3FDB51D0" w14:textId="77777777" w:rsidR="00240B19" w:rsidRDefault="00240B19" w:rsidP="00124914">
      <w:pPr>
        <w:pStyle w:val="Bullet2"/>
        <w:ind w:left="1080"/>
      </w:pPr>
      <w:r>
        <w:t xml:space="preserve">For non-residential structures including commercial, </w:t>
      </w:r>
      <w:proofErr w:type="gramStart"/>
      <w:r>
        <w:t>industrial</w:t>
      </w:r>
      <w:proofErr w:type="gramEnd"/>
      <w:r>
        <w:t xml:space="preserve"> and public buildings:</w:t>
      </w:r>
    </w:p>
    <w:p w14:paraId="5BDE5D7F" w14:textId="77777777" w:rsidR="00240B19" w:rsidRPr="002B6E83" w:rsidRDefault="00240B19" w:rsidP="000D07E1">
      <w:pPr>
        <w:pStyle w:val="Bullet3"/>
        <w:numPr>
          <w:ilvl w:val="0"/>
          <w:numId w:val="34"/>
        </w:numPr>
        <w:ind w:left="1440"/>
      </w:pPr>
      <w:r w:rsidRPr="002B6E83">
        <w:t>The facilities and improvements are in place and will not be changed in size or capacity by more than 20 percent; and</w:t>
      </w:r>
    </w:p>
    <w:p w14:paraId="7CB5AF2B" w14:textId="77777777" w:rsidR="00240B19" w:rsidRDefault="00240B19" w:rsidP="000D07E1">
      <w:pPr>
        <w:pStyle w:val="Bullet3"/>
        <w:numPr>
          <w:ilvl w:val="0"/>
          <w:numId w:val="34"/>
        </w:numPr>
        <w:spacing w:after="240"/>
        <w:ind w:left="1440"/>
      </w:pPr>
      <w:r>
        <w:t>The activity does not involve a change in land use, e.g. from commercial to industrial, from non-residential to residential, or from one industrial use to another.</w:t>
      </w:r>
    </w:p>
    <w:p w14:paraId="610E0340" w14:textId="04E30BD3" w:rsidR="00240B19" w:rsidRPr="004F6594" w:rsidRDefault="00DB289A" w:rsidP="00D556E6">
      <w:pPr>
        <w:pStyle w:val="Bullet10"/>
      </w:pPr>
      <w:r>
        <w:t>An individual action (e.g.,</w:t>
      </w:r>
      <w:r w:rsidR="00240B19">
        <w:t xml:space="preserve"> acquisition, demolition, construction, disposition, refinancing, development) on up to four dwelling units where there is a maximum four units on any one site.  The units can be four one-unit buildings or on</w:t>
      </w:r>
      <w:r w:rsidR="00A77141">
        <w:t>e</w:t>
      </w:r>
      <w:r w:rsidR="00240B19">
        <w:t xml:space="preserve"> four-unit building or any combination </w:t>
      </w:r>
      <w:proofErr w:type="gramStart"/>
      <w:r w:rsidR="00240B19">
        <w:t>in between</w:t>
      </w:r>
      <w:r w:rsidR="00E73095">
        <w:t>;</w:t>
      </w:r>
      <w:proofErr w:type="gramEnd"/>
    </w:p>
    <w:p w14:paraId="719F8730" w14:textId="15494CA3" w:rsidR="00240B19" w:rsidRPr="004F6594" w:rsidRDefault="00240B19" w:rsidP="00D556E6">
      <w:pPr>
        <w:pStyle w:val="Bullet10"/>
      </w:pPr>
      <w:r>
        <w:t>An individual action on a project of five or more housing units developed on scattered si</w:t>
      </w:r>
      <w:r w:rsidR="00C76760">
        <w:t>t</w:t>
      </w:r>
      <w:r>
        <w:t>es when the si</w:t>
      </w:r>
      <w:r w:rsidR="00C76760">
        <w:t>t</w:t>
      </w:r>
      <w:r>
        <w:t xml:space="preserve">es are more than 2,000 feet apart and there are not more than four housing units on any one </w:t>
      </w:r>
      <w:proofErr w:type="gramStart"/>
      <w:r>
        <w:t>site</w:t>
      </w:r>
      <w:r w:rsidR="00E73095">
        <w:t>;</w:t>
      </w:r>
      <w:proofErr w:type="gramEnd"/>
    </w:p>
    <w:p w14:paraId="10122D95" w14:textId="380DB86C" w:rsidR="00240B19" w:rsidRPr="004F6594" w:rsidRDefault="00240B19" w:rsidP="00D556E6">
      <w:pPr>
        <w:pStyle w:val="Bullet10"/>
      </w:pPr>
      <w:r>
        <w:t>Acquisition (including leasing) or disposition of, or equity loans on an existing structure or acquisition (including leasing) of vacant land provided that the structure or land acquired, financed, or disposed of will be retained for the same use</w:t>
      </w:r>
      <w:r w:rsidR="00E73095">
        <w:t>; and</w:t>
      </w:r>
    </w:p>
    <w:p w14:paraId="246B6B65" w14:textId="0168CB59" w:rsidR="00240B19" w:rsidRPr="0049636E" w:rsidRDefault="00240B19" w:rsidP="00D556E6">
      <w:pPr>
        <w:pStyle w:val="Bullet10"/>
      </w:pPr>
      <w:r>
        <w:t>Combinations of the above activities</w:t>
      </w:r>
      <w:r w:rsidR="00E73095">
        <w:t>.</w:t>
      </w:r>
    </w:p>
    <w:p w14:paraId="4803D95B" w14:textId="1A078B03" w:rsidR="00240B19" w:rsidRDefault="00240B19" w:rsidP="00CE3D83">
      <w:pPr>
        <w:pStyle w:val="Normal1"/>
      </w:pPr>
      <w:bookmarkStart w:id="15" w:name="CEST_Requirements"/>
      <w:r>
        <w:t xml:space="preserve">To prepare the </w:t>
      </w:r>
      <w:r w:rsidR="0054419A">
        <w:t>E</w:t>
      </w:r>
      <w:r>
        <w:t xml:space="preserve">nvironmental </w:t>
      </w:r>
      <w:r w:rsidR="0054419A">
        <w:t>R</w:t>
      </w:r>
      <w:r>
        <w:t xml:space="preserve">eview for </w:t>
      </w:r>
      <w:r w:rsidR="00444DBE">
        <w:t>c</w:t>
      </w:r>
      <w:r>
        <w:t xml:space="preserve">ategorically </w:t>
      </w:r>
      <w:r w:rsidR="00444DBE">
        <w:t>e</w:t>
      </w:r>
      <w:r>
        <w:t xml:space="preserve">xcluded </w:t>
      </w:r>
      <w:r w:rsidR="00444DBE">
        <w:t>a</w:t>
      </w:r>
      <w:r>
        <w:t xml:space="preserve">ctivities </w:t>
      </w:r>
      <w:r w:rsidR="00444DBE">
        <w:t>s</w:t>
      </w:r>
      <w:r>
        <w:t xml:space="preserve">ubject to </w:t>
      </w:r>
      <w:r w:rsidR="00444DBE">
        <w:t>c</w:t>
      </w:r>
      <w:r>
        <w:t>ompliance with Part 58.5</w:t>
      </w:r>
      <w:r w:rsidR="0054419A">
        <w:t>,</w:t>
      </w:r>
      <w:r>
        <w:t xml:space="preserve"> the following steps must be completed, using the </w:t>
      </w:r>
      <w:hyperlink w:anchor="CEST_Form" w:history="1">
        <w:r w:rsidR="00BB72CA" w:rsidRPr="0085201A">
          <w:rPr>
            <w:rStyle w:val="Hyperlink"/>
            <w:i/>
          </w:rPr>
          <w:t xml:space="preserve">Environmental Review for </w:t>
        </w:r>
        <w:r w:rsidR="00A13087" w:rsidRPr="0085201A">
          <w:rPr>
            <w:rStyle w:val="Hyperlink"/>
            <w:i/>
          </w:rPr>
          <w:t>CEST</w:t>
        </w:r>
        <w:r w:rsidR="00BB72CA" w:rsidRPr="0085201A">
          <w:rPr>
            <w:rStyle w:val="Hyperlink"/>
            <w:i/>
          </w:rPr>
          <w:t xml:space="preserve"> </w:t>
        </w:r>
      </w:hyperlink>
      <w:r w:rsidRPr="005E6D1A">
        <w:t xml:space="preserve"> </w:t>
      </w:r>
      <w:r w:rsidR="00BB72CA">
        <w:t>(HUD recommended</w:t>
      </w:r>
      <w:r w:rsidR="00536034">
        <w:t xml:space="preserve"> </w:t>
      </w:r>
      <w:r w:rsidRPr="005E6D1A">
        <w:t>format</w:t>
      </w:r>
      <w:r w:rsidR="00BB72CA">
        <w:t>)</w:t>
      </w:r>
      <w:r>
        <w:t>:</w:t>
      </w:r>
      <w:r w:rsidDel="00F16D7E">
        <w:t xml:space="preserve"> </w:t>
      </w:r>
    </w:p>
    <w:bookmarkEnd w:id="15"/>
    <w:p w14:paraId="56B665D4" w14:textId="1A089DA8" w:rsidR="006A1360" w:rsidRPr="004F6594" w:rsidRDefault="00240B19" w:rsidP="00CE3D83">
      <w:pPr>
        <w:pStyle w:val="Bullet10"/>
      </w:pPr>
      <w:r>
        <w:t>Document compliance with the following Federal laws and authorities</w:t>
      </w:r>
      <w:r w:rsidR="00AB2432">
        <w:t xml:space="preserve"> (note that further guidance on each factor is available via the </w:t>
      </w:r>
      <w:hyperlink w:anchor="Doc_of_Source_ER" w:history="1">
        <w:r w:rsidR="00AB2432" w:rsidRPr="00907EA8">
          <w:rPr>
            <w:rStyle w:val="Hyperlink"/>
          </w:rPr>
          <w:t>“Documentation of Sources”</w:t>
        </w:r>
      </w:hyperlink>
      <w:r w:rsidR="00AB2432">
        <w:t xml:space="preserve"> on the CDBG web site, Environmental chapter attachments)</w:t>
      </w:r>
      <w:r>
        <w:t xml:space="preserve">: </w:t>
      </w:r>
    </w:p>
    <w:p w14:paraId="2E6D53D4" w14:textId="21A43538" w:rsidR="00663FE0" w:rsidRDefault="007852A7" w:rsidP="00CE3D83">
      <w:pPr>
        <w:pStyle w:val="Bullet2"/>
        <w:numPr>
          <w:ilvl w:val="1"/>
          <w:numId w:val="10"/>
        </w:numPr>
        <w:ind w:left="1800"/>
      </w:pPr>
      <w:r w:rsidRPr="00E239F9">
        <w:rPr>
          <w:noProof/>
        </w:rPr>
        <w:lastRenderedPageBreak/>
        <mc:AlternateContent>
          <mc:Choice Requires="wps">
            <w:drawing>
              <wp:anchor distT="0" distB="0" distL="114300" distR="114300" simplePos="0" relativeHeight="251674624" behindDoc="1" locked="0" layoutInCell="1" allowOverlap="1" wp14:anchorId="5AC144D1" wp14:editId="4FA90681">
                <wp:simplePos x="0" y="0"/>
                <wp:positionH relativeFrom="page">
                  <wp:align>right</wp:align>
                </wp:positionH>
                <wp:positionV relativeFrom="paragraph">
                  <wp:posOffset>14778</wp:posOffset>
                </wp:positionV>
                <wp:extent cx="2112010" cy="1770380"/>
                <wp:effectExtent l="0" t="0" r="97790" b="96520"/>
                <wp:wrapTight wrapText="left">
                  <wp:wrapPolygon edited="0">
                    <wp:start x="0" y="0"/>
                    <wp:lineTo x="0" y="21848"/>
                    <wp:lineTo x="390" y="22545"/>
                    <wp:lineTo x="22405" y="22545"/>
                    <wp:lineTo x="22405" y="930"/>
                    <wp:lineTo x="22016" y="0"/>
                    <wp:lineTo x="0" y="0"/>
                  </wp:wrapPolygon>
                </wp:wrapTight>
                <wp:docPr id="114468637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770611"/>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32FB6A6F" w14:textId="4380FA22" w:rsidR="007852A7" w:rsidRPr="005A45D1" w:rsidRDefault="007852A7" w:rsidP="007852A7">
                            <w:pPr>
                              <w:pStyle w:val="Normal1"/>
                              <w:jc w:val="left"/>
                            </w:pPr>
                            <w:r>
                              <w:t xml:space="preserve">Please see </w:t>
                            </w:r>
                            <w:r w:rsidR="005A45D1">
                              <w:rPr>
                                <w:b/>
                                <w:bCs/>
                              </w:rPr>
                              <w:t>Section 5</w:t>
                            </w:r>
                            <w:r w:rsidR="005A45D1">
                              <w:t xml:space="preserve"> of this chapter for </w:t>
                            </w:r>
                            <w:r w:rsidR="00F72146">
                              <w:t>more information on the</w:t>
                            </w:r>
                            <w:r w:rsidR="005A45D1">
                              <w:t xml:space="preserve"> posting requirements for</w:t>
                            </w:r>
                            <w:r w:rsidR="00F72146">
                              <w:t xml:space="preserve"> floodplains/wetlands notices to be sure they can be met. Otherwise, publication should be done.</w:t>
                            </w:r>
                          </w:p>
                          <w:p w14:paraId="722EF339" w14:textId="77777777" w:rsidR="007852A7" w:rsidRDefault="007852A7" w:rsidP="007852A7">
                            <w:pPr>
                              <w:rPr>
                                <w:b/>
                              </w:rPr>
                            </w:pPr>
                          </w:p>
                          <w:p w14:paraId="0E35B5D1" w14:textId="77777777" w:rsidR="007852A7" w:rsidRDefault="007852A7" w:rsidP="00785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44D1" id="_x0000_s1029" type="#_x0000_t202" style="position:absolute;left:0;text-align:left;margin-left:115.1pt;margin-top:1.15pt;width:166.3pt;height:139.4pt;z-index:-2516418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" strokeweight="1.5pt">
                <v:shadow on="t" offset="6pt,6pt"/>
                <v:textbox>
                  <w:txbxContent>
                    <w:p w14:paraId="32FB6A6F" w14:textId="4380FA22" w:rsidR="007852A7" w:rsidRPr="005A45D1" w:rsidRDefault="007852A7" w:rsidP="007852A7">
                      <w:pPr>
                        <w:pStyle w:val="Normal1"/>
                        <w:jc w:val="left"/>
                      </w:pPr>
                      <w:r>
                        <w:t xml:space="preserve">Please see </w:t>
                      </w:r>
                      <w:r w:rsidR="005A45D1">
                        <w:rPr>
                          <w:b/>
                          <w:bCs/>
                        </w:rPr>
                        <w:t>Section 5</w:t>
                      </w:r>
                      <w:r w:rsidR="005A45D1">
                        <w:t xml:space="preserve"> of this chapter for </w:t>
                      </w:r>
                      <w:r w:rsidR="00F72146">
                        <w:t>more information on the</w:t>
                      </w:r>
                      <w:r w:rsidR="005A45D1">
                        <w:t xml:space="preserve"> posting requirements for</w:t>
                      </w:r>
                      <w:r w:rsidR="00F72146">
                        <w:t xml:space="preserve"> floodplains/wetlands notices to be sure they can be met. Otherwise, publication should be done.</w:t>
                      </w:r>
                    </w:p>
                    <w:p w14:paraId="722EF339" w14:textId="77777777" w:rsidR="007852A7" w:rsidRDefault="007852A7" w:rsidP="007852A7">
                      <w:pPr>
                        <w:rPr>
                          <w:b/>
                        </w:rPr>
                      </w:pPr>
                    </w:p>
                    <w:p w14:paraId="0E35B5D1" w14:textId="77777777" w:rsidR="007852A7" w:rsidRDefault="007852A7" w:rsidP="007852A7"/>
                  </w:txbxContent>
                </v:textbox>
                <w10:wrap type="tight" side="left" anchorx="page"/>
              </v:shape>
            </w:pict>
          </mc:Fallback>
        </mc:AlternateContent>
      </w:r>
      <w:r w:rsidR="00663FE0">
        <w:t>Flood</w:t>
      </w:r>
      <w:r w:rsidR="00B86F2A">
        <w:t>p</w:t>
      </w:r>
      <w:r w:rsidR="00663FE0">
        <w:t>lains and Wetlands</w:t>
      </w:r>
    </w:p>
    <w:p w14:paraId="3335AF61" w14:textId="3F7A9CB6" w:rsidR="008C6223" w:rsidRDefault="0082329F" w:rsidP="00CE3D83">
      <w:pPr>
        <w:pStyle w:val="Bullet2"/>
        <w:numPr>
          <w:ilvl w:val="2"/>
          <w:numId w:val="10"/>
        </w:numPr>
        <w:ind w:left="2520"/>
      </w:pPr>
      <w:r>
        <w:t xml:space="preserve">Executive Order 13690 (Federal Flood Risk Management Standard), </w:t>
      </w:r>
      <w:r w:rsidR="00663FE0" w:rsidRPr="00E239F9">
        <w:t xml:space="preserve">Executive Order </w:t>
      </w:r>
      <w:hyperlink r:id="rId20" w:history="1">
        <w:r w:rsidR="00663FE0" w:rsidRPr="00310E05">
          <w:rPr>
            <w:rStyle w:val="Hyperlink"/>
          </w:rPr>
          <w:t>11988</w:t>
        </w:r>
      </w:hyperlink>
      <w:r w:rsidR="00663FE0" w:rsidRPr="00E239F9">
        <w:t xml:space="preserve"> (Floodplain Management) and Executive Order </w:t>
      </w:r>
      <w:hyperlink r:id="rId21" w:history="1">
        <w:r w:rsidR="00663FE0" w:rsidRPr="00310E05">
          <w:rPr>
            <w:rStyle w:val="Hyperlink"/>
          </w:rPr>
          <w:t>11990</w:t>
        </w:r>
      </w:hyperlink>
      <w:r w:rsidR="00663FE0" w:rsidRPr="00E239F9">
        <w:t xml:space="preserve"> (Wetland Protection)</w:t>
      </w:r>
      <w:r w:rsidR="004A1EBF">
        <w:t xml:space="preserve"> - D</w:t>
      </w:r>
      <w:r w:rsidR="00663FE0" w:rsidRPr="00E239F9">
        <w:t xml:space="preserve">etermine whether or not the project is located in or will impact the </w:t>
      </w:r>
      <w:r w:rsidR="009979C4">
        <w:t xml:space="preserve">FFRMS </w:t>
      </w:r>
      <w:r w:rsidR="00663FE0" w:rsidRPr="00E239F9">
        <w:t xml:space="preserve">floodplain </w:t>
      </w:r>
      <w:r>
        <w:t xml:space="preserve">of concern </w:t>
      </w:r>
      <w:r w:rsidR="00663FE0" w:rsidRPr="00E239F9">
        <w:t xml:space="preserve">and/or proposes construction in a designated wetland.  If the answer to this question is "Yes," apply the Eight-Step Process (this procedure is </w:t>
      </w:r>
      <w:r w:rsidR="00565A7B">
        <w:t xml:space="preserve">outlined </w:t>
      </w:r>
      <w:hyperlink w:anchor="_Appendix_B" w:history="1">
        <w:r w:rsidR="00565A7B" w:rsidRPr="009921E2">
          <w:rPr>
            <w:rStyle w:val="Hyperlink"/>
          </w:rPr>
          <w:t>in Appendix B</w:t>
        </w:r>
      </w:hyperlink>
      <w:r w:rsidR="00663FE0" w:rsidRPr="00E239F9">
        <w:t xml:space="preserve">).  The </w:t>
      </w:r>
      <w:r w:rsidR="00663FE0" w:rsidRPr="005E6D1A">
        <w:rPr>
          <w:i/>
        </w:rPr>
        <w:t xml:space="preserve">Early </w:t>
      </w:r>
      <w:r w:rsidR="00663FE0">
        <w:rPr>
          <w:i/>
        </w:rPr>
        <w:t xml:space="preserve">Notice and </w:t>
      </w:r>
      <w:r w:rsidR="00663FE0" w:rsidRPr="005E6D1A">
        <w:rPr>
          <w:i/>
        </w:rPr>
        <w:t>Public Review</w:t>
      </w:r>
      <w:r w:rsidR="00663FE0" w:rsidRPr="00E239F9">
        <w:t xml:space="preserve"> must </w:t>
      </w:r>
      <w:r w:rsidR="00121B9D">
        <w:t xml:space="preserve">either </w:t>
      </w:r>
      <w:r w:rsidR="00663FE0" w:rsidRPr="00E239F9">
        <w:t xml:space="preserve">be published in a newspaper of general circulation </w:t>
      </w:r>
      <w:r w:rsidR="00121B9D">
        <w:t xml:space="preserve">or posted on an appropriate government site </w:t>
      </w:r>
      <w:r w:rsidR="00663FE0" w:rsidRPr="00E239F9">
        <w:t>at least fifteen days (excluding the date of publication</w:t>
      </w:r>
      <w:r w:rsidR="00121B9D">
        <w:t>/posting</w:t>
      </w:r>
      <w:r w:rsidR="00663FE0" w:rsidRPr="00E239F9">
        <w:t>) prior to publication</w:t>
      </w:r>
      <w:r w:rsidR="009C769E">
        <w:t>/posting</w:t>
      </w:r>
      <w:r w:rsidR="00663FE0" w:rsidRPr="00E239F9">
        <w:t xml:space="preserve"> of the </w:t>
      </w:r>
      <w:r w:rsidR="00663FE0">
        <w:rPr>
          <w:i/>
        </w:rPr>
        <w:t>Final Notice</w:t>
      </w:r>
      <w:r w:rsidR="00663FE0" w:rsidRPr="005E6D1A">
        <w:rPr>
          <w:i/>
        </w:rPr>
        <w:t xml:space="preserve"> and Public Explanation</w:t>
      </w:r>
      <w:r w:rsidR="00121B9D">
        <w:rPr>
          <w:i/>
        </w:rPr>
        <w:t xml:space="preserve"> (Final Notice)</w:t>
      </w:r>
      <w:r w:rsidR="00663FE0" w:rsidRPr="00E239F9">
        <w:t>.  You may publish</w:t>
      </w:r>
      <w:r w:rsidR="00121B9D">
        <w:t>/post</w:t>
      </w:r>
      <w:r w:rsidR="00663FE0" w:rsidRPr="00E239F9">
        <w:t xml:space="preserve"> the </w:t>
      </w:r>
      <w:r w:rsidR="00121B9D">
        <w:rPr>
          <w:i/>
        </w:rPr>
        <w:t>Final Notice</w:t>
      </w:r>
      <w:r w:rsidR="00663FE0" w:rsidRPr="00E239F9">
        <w:t xml:space="preserve"> concurrently with the </w:t>
      </w:r>
      <w:r w:rsidR="00663FE0" w:rsidRPr="005E6D1A">
        <w:rPr>
          <w:i/>
        </w:rPr>
        <w:t>Notice of Intent to Request Release of Funds.</w:t>
      </w:r>
      <w:r w:rsidR="00663FE0" w:rsidRPr="00E239F9">
        <w:t xml:space="preserve">  (Note:  Alterations to wetlands within the jurisdiction of the U.S. Army Corps of Engineers may require a special permit.)</w:t>
      </w:r>
    </w:p>
    <w:p w14:paraId="2D95DB08" w14:textId="77777777" w:rsidR="00663FE0" w:rsidRDefault="00663FE0" w:rsidP="00CE3D83">
      <w:pPr>
        <w:pStyle w:val="Bullet2"/>
        <w:numPr>
          <w:ilvl w:val="1"/>
          <w:numId w:val="10"/>
        </w:numPr>
        <w:ind w:left="1800"/>
      </w:pPr>
      <w:r>
        <w:t>Historic Preservation</w:t>
      </w:r>
    </w:p>
    <w:p w14:paraId="69007D9F" w14:textId="7A950C90" w:rsidR="00663FE0" w:rsidRPr="004F6594" w:rsidRDefault="00663FE0" w:rsidP="00CE3D83">
      <w:pPr>
        <w:pStyle w:val="Bullet2"/>
        <w:numPr>
          <w:ilvl w:val="2"/>
          <w:numId w:val="10"/>
        </w:numPr>
        <w:ind w:left="2520"/>
      </w:pPr>
      <w:r>
        <w:t xml:space="preserve">Prepare </w:t>
      </w:r>
      <w:r w:rsidRPr="004F6594">
        <w:t xml:space="preserve">the </w:t>
      </w:r>
      <w:hyperlink r:id="rId22" w:history="1">
        <w:r w:rsidRPr="00697381">
          <w:rPr>
            <w:rStyle w:val="Hyperlink"/>
            <w:i/>
          </w:rPr>
          <w:t>Section 106 Project Review Form</w:t>
        </w:r>
      </w:hyperlink>
      <w:r w:rsidRPr="004F6594">
        <w:t xml:space="preserve"> for the South Carolina Department of Archives and History (</w:t>
      </w:r>
      <w:r w:rsidR="008F1BDC">
        <w:t>a</w:t>
      </w:r>
      <w:r w:rsidRPr="004F6594">
        <w:t>lso referred to as the State Historic Preservation Office</w:t>
      </w:r>
      <w:r w:rsidR="008F1BDC">
        <w:t>,</w:t>
      </w:r>
      <w:r w:rsidRPr="004F6594">
        <w:t xml:space="preserve"> or SHPO).  </w:t>
      </w:r>
      <w:r>
        <w:t xml:space="preserve">The </w:t>
      </w:r>
      <w:r w:rsidRPr="004F6594">
        <w:t>process is completed when the SHPO concurs with the recipient’s determination that “no historic properties” will be affected</w:t>
      </w:r>
      <w:r w:rsidR="006D119A">
        <w:t>, or</w:t>
      </w:r>
      <w:r w:rsidRPr="004F6594">
        <w:t xml:space="preserve"> when the SHPO and the recipient execute a </w:t>
      </w:r>
      <w:hyperlink r:id="rId23" w:history="1">
        <w:r w:rsidRPr="008C3A0A">
          <w:rPr>
            <w:rStyle w:val="Hyperlink"/>
          </w:rPr>
          <w:t>Memorandum of Agreement</w:t>
        </w:r>
      </w:hyperlink>
      <w:r w:rsidRPr="004F6594">
        <w:t xml:space="preserve"> with regard to adverse effects.</w:t>
      </w:r>
    </w:p>
    <w:p w14:paraId="52E0340C" w14:textId="0D0EADC0" w:rsidR="009C69BC" w:rsidRPr="009042D7" w:rsidRDefault="00663FE0" w:rsidP="00CE3D83">
      <w:pPr>
        <w:pStyle w:val="Bullet2"/>
        <w:numPr>
          <w:ilvl w:val="2"/>
          <w:numId w:val="10"/>
        </w:numPr>
        <w:ind w:left="2520"/>
        <w:rPr>
          <w:color w:val="000000"/>
        </w:rPr>
      </w:pPr>
      <w:r>
        <w:t xml:space="preserve">The grantee is required to document consultation with federally recognized </w:t>
      </w:r>
      <w:r w:rsidR="00396403">
        <w:t xml:space="preserve">Native American </w:t>
      </w:r>
      <w:r w:rsidRPr="0059055C">
        <w:t xml:space="preserve">Indian </w:t>
      </w:r>
      <w:r w:rsidR="00E778B2">
        <w:t>t</w:t>
      </w:r>
      <w:r w:rsidR="006C40BA">
        <w:t>ribes</w:t>
      </w:r>
      <w:r w:rsidRPr="0059055C">
        <w:t xml:space="preserve"> for all ground disturbing activities</w:t>
      </w:r>
      <w:r w:rsidRPr="009C69BC">
        <w:rPr>
          <w:b/>
        </w:rPr>
        <w:t>.</w:t>
      </w:r>
      <w:r>
        <w:t xml:space="preserve">  </w:t>
      </w:r>
      <w:r w:rsidR="006C40BA">
        <w:t xml:space="preserve">Consult the </w:t>
      </w:r>
      <w:hyperlink r:id="rId24" w:history="1">
        <w:r w:rsidR="006C40BA" w:rsidRPr="00773DA1">
          <w:rPr>
            <w:rStyle w:val="Hyperlink"/>
          </w:rPr>
          <w:t>HUD Tribal Directory Assessment Tool</w:t>
        </w:r>
      </w:hyperlink>
      <w:r w:rsidR="006C40BA">
        <w:t xml:space="preserve"> (TDAT) on the HUD website to determin</w:t>
      </w:r>
      <w:r w:rsidR="00E778B2">
        <w:t>e</w:t>
      </w:r>
      <w:r w:rsidR="006C40BA">
        <w:t xml:space="preserve"> which tribes should be contacted.</w:t>
      </w:r>
      <w:r>
        <w:t xml:space="preserve"> Government to government consultation is required, so the invitation to consult must be from the </w:t>
      </w:r>
      <w:r w:rsidR="001822F3">
        <w:t>grantee</w:t>
      </w:r>
      <w:r>
        <w:t xml:space="preserve"> (on government letterhead).</w:t>
      </w:r>
      <w:r w:rsidR="009C69BC">
        <w:t xml:space="preserve"> </w:t>
      </w:r>
      <w:r w:rsidR="009C69BC" w:rsidRPr="009042D7">
        <w:rPr>
          <w:color w:val="000000"/>
        </w:rPr>
        <w:t xml:space="preserve">In addition, local governments should use the </w:t>
      </w:r>
      <w:r w:rsidR="0016609E">
        <w:rPr>
          <w:color w:val="000000"/>
        </w:rPr>
        <w:t xml:space="preserve">recommended </w:t>
      </w:r>
      <w:hyperlink r:id="rId25" w:history="1">
        <w:r w:rsidR="009C69BC" w:rsidRPr="0016609E">
          <w:rPr>
            <w:rStyle w:val="Hyperlink"/>
          </w:rPr>
          <w:t>HUD Tribal consultation letter</w:t>
        </w:r>
      </w:hyperlink>
      <w:r w:rsidR="0016609E">
        <w:rPr>
          <w:color w:val="000000"/>
        </w:rPr>
        <w:t xml:space="preserve"> template.</w:t>
      </w:r>
    </w:p>
    <w:p w14:paraId="7E3990CA" w14:textId="77777777" w:rsidR="00917E58" w:rsidRPr="00987C60" w:rsidRDefault="00663FE0" w:rsidP="00CE3D83">
      <w:pPr>
        <w:pStyle w:val="Bullet2"/>
        <w:numPr>
          <w:ilvl w:val="2"/>
          <w:numId w:val="10"/>
        </w:numPr>
        <w:ind w:left="2520"/>
      </w:pPr>
      <w:proofErr w:type="gramStart"/>
      <w:r w:rsidRPr="009042D7">
        <w:rPr>
          <w:color w:val="000000"/>
        </w:rPr>
        <w:t>Generally</w:t>
      </w:r>
      <w:proofErr w:type="gramEnd"/>
      <w:r w:rsidRPr="009042D7">
        <w:rPr>
          <w:color w:val="000000"/>
        </w:rPr>
        <w:t xml:space="preserve"> SHPO/</w:t>
      </w:r>
      <w:r w:rsidR="006C40BA" w:rsidRPr="009042D7">
        <w:rPr>
          <w:color w:val="000000"/>
        </w:rPr>
        <w:t xml:space="preserve">Tribe </w:t>
      </w:r>
      <w:r w:rsidRPr="009042D7">
        <w:rPr>
          <w:color w:val="000000"/>
        </w:rPr>
        <w:t>has a thirty (30) day period for consultation invitation.  This timeframe begins at the time SHPO/</w:t>
      </w:r>
      <w:r w:rsidR="006C40BA" w:rsidRPr="009042D7">
        <w:rPr>
          <w:color w:val="000000"/>
        </w:rPr>
        <w:t xml:space="preserve">Tribe </w:t>
      </w:r>
      <w:r w:rsidRPr="009042D7">
        <w:rPr>
          <w:color w:val="000000"/>
        </w:rPr>
        <w:t xml:space="preserve">receives the request (not from the date the letter is mailed or date on the letter).  Requests for consultation </w:t>
      </w:r>
      <w:r w:rsidRPr="009042D7">
        <w:rPr>
          <w:color w:val="000000"/>
        </w:rPr>
        <w:lastRenderedPageBreak/>
        <w:t xml:space="preserve">should be sent using certified mail </w:t>
      </w:r>
      <w:r w:rsidR="00C40AA6" w:rsidRPr="009042D7">
        <w:rPr>
          <w:color w:val="000000"/>
        </w:rPr>
        <w:t xml:space="preserve">or emailed with receipt notification </w:t>
      </w:r>
      <w:r w:rsidRPr="009042D7">
        <w:rPr>
          <w:color w:val="000000"/>
        </w:rPr>
        <w:t>so that the 30-day time frame can be</w:t>
      </w:r>
      <w:r>
        <w:t xml:space="preserve"> documented in the ERR if the SHPO/</w:t>
      </w:r>
      <w:r w:rsidR="006C40BA">
        <w:t xml:space="preserve">Tribe </w:t>
      </w:r>
      <w:r>
        <w:t xml:space="preserve">fails to respond within the </w:t>
      </w:r>
      <w:proofErr w:type="gramStart"/>
      <w:r>
        <w:t>30 day</w:t>
      </w:r>
      <w:proofErr w:type="gramEnd"/>
      <w:r>
        <w:t xml:space="preserve"> time period.</w:t>
      </w:r>
      <w:r w:rsidR="00917E58" w:rsidRPr="00917E58">
        <w:rPr>
          <w:rFonts w:cs="Tahoma"/>
          <w:color w:val="C00000"/>
        </w:rPr>
        <w:t xml:space="preserve"> </w:t>
      </w:r>
      <w:r w:rsidR="00917E58" w:rsidRPr="00987C60">
        <w:rPr>
          <w:rFonts w:cs="Tahoma"/>
        </w:rPr>
        <w:t>For gauging the beginning and end of the 30-day period, an RE may assume that an emailed letter is received on the date it is sent.  For a hard copy letter, an RE may send the letter certified mail, or if mail delivery is predictable and reliable, the RE may assume a 5-day delivery period and assume that the period ends 35 days after the letter is mailed.</w:t>
      </w:r>
      <w:r w:rsidR="00917E58" w:rsidRPr="00987C60">
        <w:rPr>
          <w:rFonts w:ascii="Times New Roman" w:hAnsi="Times New Roman"/>
        </w:rPr>
        <w:t xml:space="preserve">  </w:t>
      </w:r>
    </w:p>
    <w:p w14:paraId="01748CD3" w14:textId="06A5A203" w:rsidR="006A1360" w:rsidRPr="0049636E" w:rsidRDefault="00000000" w:rsidP="00CE3D83">
      <w:pPr>
        <w:pStyle w:val="Bullet2"/>
        <w:numPr>
          <w:ilvl w:val="1"/>
          <w:numId w:val="10"/>
        </w:numPr>
        <w:ind w:left="1800"/>
      </w:pPr>
      <w:hyperlink r:id="rId26" w:history="1">
        <w:r w:rsidR="006A1360" w:rsidRPr="00430F3C">
          <w:rPr>
            <w:rStyle w:val="Hyperlink"/>
          </w:rPr>
          <w:t>Coastal Zone Management Act</w:t>
        </w:r>
      </w:hyperlink>
      <w:r w:rsidR="006A1360" w:rsidRPr="0049636E">
        <w:t xml:space="preserve"> </w:t>
      </w:r>
    </w:p>
    <w:p w14:paraId="6F4B1C71" w14:textId="4AB48C9D" w:rsidR="00E46B60" w:rsidRPr="00C2485F" w:rsidRDefault="00E46B60" w:rsidP="000D07E1">
      <w:pPr>
        <w:pStyle w:val="Bullet3"/>
        <w:numPr>
          <w:ilvl w:val="0"/>
          <w:numId w:val="22"/>
        </w:numPr>
        <w:tabs>
          <w:tab w:val="clear" w:pos="1800"/>
          <w:tab w:val="num" w:pos="2880"/>
        </w:tabs>
        <w:ind w:left="2160"/>
      </w:pPr>
      <w:r w:rsidRPr="00C2485F">
        <w:t xml:space="preserve">ONLY Coastal Counties are required to obtain Determinations of Consistency from the </w:t>
      </w:r>
      <w:r w:rsidR="00CD7EE6">
        <w:t>SC Department of Environmental Services (SCDES, formerly known as DHEC)</w:t>
      </w:r>
      <w:r w:rsidR="008053DF">
        <w:t>,</w:t>
      </w:r>
      <w:r w:rsidRPr="00C2485F">
        <w:t xml:space="preserve"> Office of</w:t>
      </w:r>
      <w:r w:rsidRPr="00C2485F">
        <w:rPr>
          <w:caps/>
        </w:rPr>
        <w:t xml:space="preserve"> </w:t>
      </w:r>
      <w:r w:rsidRPr="00C2485F">
        <w:t xml:space="preserve">Ocean &amp; Coastal Resource Management. </w:t>
      </w:r>
      <w:r w:rsidR="00BB6B36" w:rsidRPr="00C2485F">
        <w:t xml:space="preserve">Coastal counties include Beaufort, Berkeley, Charleston, Colleton, Dorchester, </w:t>
      </w:r>
      <w:r w:rsidR="00FF6474" w:rsidRPr="00C2485F">
        <w:t xml:space="preserve">Georgetown, </w:t>
      </w:r>
      <w:r w:rsidR="00BB6B36" w:rsidRPr="00C2485F">
        <w:t>Horry</w:t>
      </w:r>
      <w:r w:rsidR="00FF6474" w:rsidRPr="00C2485F">
        <w:t>, and</w:t>
      </w:r>
      <w:r w:rsidR="00BB6B36" w:rsidRPr="00C2485F">
        <w:t xml:space="preserve"> Jasper.</w:t>
      </w:r>
    </w:p>
    <w:p w14:paraId="2F8F182F" w14:textId="047CB8C7" w:rsidR="00240B19" w:rsidRDefault="00240B19" w:rsidP="000D07E1">
      <w:pPr>
        <w:pStyle w:val="Bullet2"/>
        <w:numPr>
          <w:ilvl w:val="0"/>
          <w:numId w:val="21"/>
        </w:numPr>
        <w:ind w:left="1800"/>
      </w:pPr>
      <w:r>
        <w:t>Sole Source Aquifers (</w:t>
      </w:r>
      <w:hyperlink r:id="rId27" w:history="1">
        <w:r w:rsidRPr="007809B4">
          <w:rPr>
            <w:rStyle w:val="Hyperlink"/>
          </w:rPr>
          <w:t>Safe Drinking Water Act</w:t>
        </w:r>
      </w:hyperlink>
      <w:r>
        <w:t>)</w:t>
      </w:r>
    </w:p>
    <w:p w14:paraId="1F9F8F21" w14:textId="5909696D" w:rsidR="00240B19" w:rsidRDefault="00000000" w:rsidP="000D07E1">
      <w:pPr>
        <w:pStyle w:val="Bullet2"/>
        <w:numPr>
          <w:ilvl w:val="0"/>
          <w:numId w:val="21"/>
        </w:numPr>
        <w:ind w:left="1800"/>
      </w:pPr>
      <w:hyperlink r:id="rId28" w:history="1">
        <w:r w:rsidR="00240B19" w:rsidRPr="00312AC5">
          <w:rPr>
            <w:rStyle w:val="Hyperlink"/>
          </w:rPr>
          <w:t>Endangered Species Act</w:t>
        </w:r>
      </w:hyperlink>
      <w:r w:rsidR="00EC5FC2">
        <w:t xml:space="preserve"> </w:t>
      </w:r>
    </w:p>
    <w:p w14:paraId="77264800" w14:textId="0B49A217" w:rsidR="003C1292" w:rsidRDefault="00A72761" w:rsidP="000D07E1">
      <w:pPr>
        <w:pStyle w:val="Bullet3"/>
        <w:numPr>
          <w:ilvl w:val="3"/>
          <w:numId w:val="23"/>
        </w:numPr>
        <w:ind w:left="2520"/>
      </w:pPr>
      <w:r>
        <w:rPr>
          <w:rFonts w:cs="Tahoma"/>
          <w:noProof w:val="0"/>
        </w:rPr>
        <w:t xml:space="preserve">Federal Species - </w:t>
      </w:r>
      <w:r w:rsidR="003C1292" w:rsidRPr="00F2560B">
        <w:rPr>
          <w:rFonts w:cs="Tahoma"/>
          <w:noProof w:val="0"/>
        </w:rPr>
        <w:t xml:space="preserve">For </w:t>
      </w:r>
      <w:r w:rsidR="003C1292">
        <w:rPr>
          <w:rFonts w:cs="Tahoma"/>
          <w:noProof w:val="0"/>
        </w:rPr>
        <w:t xml:space="preserve">projects that can </w:t>
      </w:r>
      <w:r w:rsidR="00C314F8">
        <w:rPr>
          <w:rFonts w:cs="Tahoma"/>
          <w:noProof w:val="0"/>
        </w:rPr>
        <w:t>document they meet t</w:t>
      </w:r>
      <w:r w:rsidR="003C1292">
        <w:rPr>
          <w:rFonts w:cs="Tahoma"/>
          <w:noProof w:val="0"/>
        </w:rPr>
        <w:t xml:space="preserve">he </w:t>
      </w:r>
      <w:r w:rsidR="000042E4">
        <w:rPr>
          <w:rFonts w:cs="Tahoma"/>
          <w:noProof w:val="0"/>
        </w:rPr>
        <w:t xml:space="preserve">specific </w:t>
      </w:r>
      <w:r w:rsidR="003C1292">
        <w:rPr>
          <w:rFonts w:cs="Tahoma"/>
          <w:noProof w:val="0"/>
        </w:rPr>
        <w:t xml:space="preserve">conditions outlined in the </w:t>
      </w:r>
      <w:r w:rsidR="004E3F52">
        <w:rPr>
          <w:rFonts w:cs="Tahoma"/>
          <w:noProof w:val="0"/>
        </w:rPr>
        <w:t xml:space="preserve">updated </w:t>
      </w:r>
      <w:r w:rsidR="003C1292">
        <w:t xml:space="preserve">Region IV </w:t>
      </w:r>
      <w:r w:rsidR="003C1292" w:rsidRPr="00F2560B">
        <w:rPr>
          <w:i/>
          <w:iCs/>
        </w:rPr>
        <w:t>“U.S. Fish and Wildlife Service (USFWS) Clearance to Proceed with Federally-Insured Loan and Grant Project</w:t>
      </w:r>
      <w:r w:rsidR="003C1292">
        <w:rPr>
          <w:i/>
          <w:iCs/>
        </w:rPr>
        <w:t xml:space="preserve"> </w:t>
      </w:r>
      <w:r w:rsidR="003C1292" w:rsidRPr="00F2560B">
        <w:rPr>
          <w:i/>
          <w:iCs/>
        </w:rPr>
        <w:t>Requests”</w:t>
      </w:r>
      <w:r w:rsidR="003C1292">
        <w:t xml:space="preserve"> letter</w:t>
      </w:r>
      <w:r w:rsidR="004E3F52">
        <w:t xml:space="preserve"> </w:t>
      </w:r>
      <w:r w:rsidR="00C314F8">
        <w:t>at</w:t>
      </w:r>
      <w:r w:rsidR="003C1292" w:rsidRPr="003E505D">
        <w:t xml:space="preserve"> </w:t>
      </w:r>
      <w:hyperlink r:id="rId29" w:history="1">
        <w:r w:rsidR="003C1292" w:rsidRPr="0021523B">
          <w:rPr>
            <w:rStyle w:val="Hyperlink"/>
          </w:rPr>
          <w:t>https://www.fws.gov/sites/default/files/documents/2024-08/public-clearance-to-proceed-with-federally-insured-loan-grant-projects-august-2024.pdf</w:t>
        </w:r>
      </w:hyperlink>
      <w:r w:rsidR="003C1292">
        <w:rPr>
          <w:rStyle w:val="Hyperlink"/>
        </w:rPr>
        <w:t xml:space="preserve">, </w:t>
      </w:r>
      <w:r w:rsidR="003C1292" w:rsidRPr="00104DEA">
        <w:rPr>
          <w:rStyle w:val="Hyperlink"/>
          <w:color w:val="auto"/>
          <w:u w:val="none"/>
        </w:rPr>
        <w:t>a finding of “no effect” can be made an</w:t>
      </w:r>
      <w:r w:rsidR="00715A6A">
        <w:rPr>
          <w:rStyle w:val="Hyperlink"/>
          <w:color w:val="auto"/>
          <w:u w:val="none"/>
        </w:rPr>
        <w:t xml:space="preserve">d no </w:t>
      </w:r>
      <w:r w:rsidR="003C1292" w:rsidRPr="00104DEA">
        <w:rPr>
          <w:rStyle w:val="Hyperlink"/>
          <w:color w:val="auto"/>
          <w:u w:val="none"/>
        </w:rPr>
        <w:t>further consultation with USFWS is required</w:t>
      </w:r>
      <w:r w:rsidR="003C1292" w:rsidRPr="00104DEA">
        <w:t>.</w:t>
      </w:r>
    </w:p>
    <w:p w14:paraId="08B2C4C5" w14:textId="15B0E021" w:rsidR="0060309A" w:rsidRDefault="0060309A" w:rsidP="00A72761">
      <w:pPr>
        <w:pStyle w:val="Bullet3"/>
        <w:ind w:left="2520"/>
      </w:pPr>
      <w:r>
        <w:t>For projects that do</w:t>
      </w:r>
      <w:r w:rsidR="004E3F52">
        <w:t xml:space="preserve"> not </w:t>
      </w:r>
      <w:r>
        <w:t>meet the conditions outlined in the “</w:t>
      </w:r>
      <w:r>
        <w:rPr>
          <w:i/>
          <w:iCs/>
        </w:rPr>
        <w:t>U.S. Fish and Wildlife Service (USFWS) Clearance to Proceed with F</w:t>
      </w:r>
      <w:r w:rsidR="00180875">
        <w:rPr>
          <w:i/>
          <w:iCs/>
        </w:rPr>
        <w:t>e</w:t>
      </w:r>
      <w:r>
        <w:rPr>
          <w:i/>
          <w:iCs/>
        </w:rPr>
        <w:t>derally-Insured Loan and Grant Project Requests”</w:t>
      </w:r>
      <w:r w:rsidR="006F4CCA">
        <w:rPr>
          <w:i/>
          <w:iCs/>
        </w:rPr>
        <w:t xml:space="preserve"> </w:t>
      </w:r>
      <w:r>
        <w:rPr>
          <w:i/>
          <w:iCs/>
        </w:rPr>
        <w:t xml:space="preserve"> </w:t>
      </w:r>
      <w:r w:rsidRPr="00EB523B">
        <w:t>letter</w:t>
      </w:r>
      <w:r w:rsidR="004E3F52">
        <w:t>,</w:t>
      </w:r>
      <w:r w:rsidRPr="00EB523B">
        <w:t xml:space="preserve"> </w:t>
      </w:r>
      <w:r>
        <w:t xml:space="preserve">a </w:t>
      </w:r>
      <w:r w:rsidRPr="00407465">
        <w:t>biological evaluation</w:t>
      </w:r>
      <w:r w:rsidR="00AC290E">
        <w:t xml:space="preserve"> must be completed. </w:t>
      </w:r>
      <w:r>
        <w:t xml:space="preserve">The process for </w:t>
      </w:r>
      <w:r w:rsidRPr="000C2DA8">
        <w:t xml:space="preserve">completing a biological evaluation </w:t>
      </w:r>
      <w:r>
        <w:t xml:space="preserve">in SC is outlined at </w:t>
      </w:r>
      <w:hyperlink r:id="rId30" w:history="1">
        <w:r w:rsidRPr="0021523B">
          <w:rPr>
            <w:rStyle w:val="Hyperlink"/>
          </w:rPr>
          <w:t>https://www.fws.gov/office/south-carolina-ecological-services/project-review-south-carolina-field-office</w:t>
        </w:r>
      </w:hyperlink>
      <w:r>
        <w:t xml:space="preserve"> and  </w:t>
      </w:r>
      <w:r w:rsidRPr="000C2DA8">
        <w:t>involves reviewing the project using the USFWS Information for Planning and Consultation (IPaC) tool (</w:t>
      </w:r>
      <w:r w:rsidRPr="00065B41">
        <w:t>https://ipac.ecosphere.fws.gov/</w:t>
      </w:r>
      <w:r w:rsidRPr="000C2DA8">
        <w:t xml:space="preserve">) </w:t>
      </w:r>
      <w:r>
        <w:t>and contacting the</w:t>
      </w:r>
      <w:r w:rsidRPr="00D10647">
        <w:t xml:space="preserve"> South Carolina Natural Heritage Program (SCNHP)</w:t>
      </w:r>
      <w:r>
        <w:t xml:space="preserve"> </w:t>
      </w:r>
      <w:hyperlink r:id="rId31" w:anchor="/natural-heritage-program" w:history="1">
        <w:r w:rsidRPr="0021523B">
          <w:rPr>
            <w:rStyle w:val="Hyperlink"/>
          </w:rPr>
          <w:t>https://schtportal.dnr.sc.gov/portal/apps/sites/#/natural-heritage-program</w:t>
        </w:r>
      </w:hyperlink>
      <w:r>
        <w:t xml:space="preserve"> to determine the </w:t>
      </w:r>
      <w:r w:rsidRPr="000C2DA8">
        <w:t xml:space="preserve">threatened or endangered species </w:t>
      </w:r>
      <w:r>
        <w:t xml:space="preserve">that </w:t>
      </w:r>
      <w:r w:rsidRPr="000C2DA8">
        <w:t>are known to occur in are</w:t>
      </w:r>
      <w:r>
        <w:t>a and</w:t>
      </w:r>
      <w:r w:rsidRPr="000C2DA8">
        <w:t xml:space="preserve"> </w:t>
      </w:r>
      <w:r>
        <w:t xml:space="preserve">that </w:t>
      </w:r>
      <w:r w:rsidRPr="000C2DA8">
        <w:t>may be affected by activities in your project site area.</w:t>
      </w:r>
      <w:r>
        <w:t xml:space="preserve"> </w:t>
      </w:r>
      <w:r w:rsidR="00AC290E">
        <w:t xml:space="preserve">If </w:t>
      </w:r>
      <w:r w:rsidR="009D0ADA">
        <w:t>the eval</w:t>
      </w:r>
      <w:r w:rsidR="000D07E1">
        <w:t>u</w:t>
      </w:r>
      <w:r w:rsidR="009D0ADA">
        <w:t xml:space="preserve">ation </w:t>
      </w:r>
      <w:r w:rsidR="004B604B">
        <w:lastRenderedPageBreak/>
        <w:t>indicate</w:t>
      </w:r>
      <w:r w:rsidR="009D0ADA">
        <w:t xml:space="preserve">s that </w:t>
      </w:r>
      <w:r w:rsidR="00AC290E">
        <w:t>no threatened or endangered species are known</w:t>
      </w:r>
      <w:r w:rsidR="009D0ADA">
        <w:t xml:space="preserve"> to occur in the area, then a finding of “no effect” may be made</w:t>
      </w:r>
      <w:r w:rsidR="003B53DA">
        <w:t xml:space="preserve"> and no further action is req</w:t>
      </w:r>
      <w:r w:rsidR="00FA6614">
        <w:t>u</w:t>
      </w:r>
      <w:r w:rsidR="003B53DA">
        <w:t xml:space="preserve">ired. However, if </w:t>
      </w:r>
      <w:r w:rsidR="004B604B">
        <w:t xml:space="preserve">the evaluation indicates </w:t>
      </w:r>
      <w:r w:rsidR="003B53DA">
        <w:t>any threatened or endangered species are know</w:t>
      </w:r>
      <w:r w:rsidR="00C95910">
        <w:t>n</w:t>
      </w:r>
      <w:r w:rsidR="003B53DA">
        <w:t xml:space="preserve"> to occur in the area, a qualified biologist must complete </w:t>
      </w:r>
      <w:r w:rsidR="009458B0">
        <w:t>further</w:t>
      </w:r>
      <w:r w:rsidR="003B53DA">
        <w:t xml:space="preserve"> biological evaluation</w:t>
      </w:r>
      <w:r w:rsidR="007332AF">
        <w:t xml:space="preserve"> (</w:t>
      </w:r>
      <w:r w:rsidR="003B53DA">
        <w:t>including an on-site investigation</w:t>
      </w:r>
      <w:r w:rsidR="007332AF">
        <w:t>)</w:t>
      </w:r>
      <w:r w:rsidR="003B53DA">
        <w:t xml:space="preserve"> that will support a scientifically </w:t>
      </w:r>
      <w:r w:rsidR="00760576">
        <w:t xml:space="preserve">defensible findings of effect. If </w:t>
      </w:r>
      <w:r w:rsidR="002C5770">
        <w:t xml:space="preserve">the </w:t>
      </w:r>
      <w:r w:rsidR="00683F72">
        <w:t>biologist’s</w:t>
      </w:r>
      <w:r w:rsidR="00760576">
        <w:t xml:space="preserve"> evaluation </w:t>
      </w:r>
      <w:r w:rsidR="002C5770">
        <w:t xml:space="preserve">indicates </w:t>
      </w:r>
      <w:r w:rsidR="00760576">
        <w:t xml:space="preserve">there is a “no effect” determination made, then no further action is required. If the </w:t>
      </w:r>
      <w:r w:rsidR="00683F72">
        <w:t xml:space="preserve">biologist’s </w:t>
      </w:r>
      <w:r w:rsidR="00760576">
        <w:t xml:space="preserve">evaluation </w:t>
      </w:r>
      <w:r w:rsidR="002C5770">
        <w:t xml:space="preserve">indicates </w:t>
      </w:r>
      <w:r w:rsidR="009458B0">
        <w:t>listed species may be affected, then USFWS must be contacted</w:t>
      </w:r>
      <w:r w:rsidR="004E0966">
        <w:t xml:space="preserve"> for further guidance</w:t>
      </w:r>
      <w:r w:rsidR="009458B0">
        <w:t>.</w:t>
      </w:r>
    </w:p>
    <w:p w14:paraId="14E676DD" w14:textId="0981A023" w:rsidR="000E0680" w:rsidRPr="00A72761" w:rsidRDefault="00A72761" w:rsidP="000D07E1">
      <w:pPr>
        <w:pStyle w:val="Normal1"/>
        <w:numPr>
          <w:ilvl w:val="3"/>
          <w:numId w:val="23"/>
        </w:numPr>
        <w:ind w:left="2520"/>
        <w:jc w:val="left"/>
      </w:pPr>
      <w:r w:rsidRPr="00A72761">
        <w:rPr>
          <w:rFonts w:cs="Tahoma"/>
        </w:rPr>
        <w:t>State Species - V</w:t>
      </w:r>
      <w:r w:rsidR="006C40BA" w:rsidRPr="00A72761">
        <w:rPr>
          <w:rFonts w:cs="Tahoma"/>
        </w:rPr>
        <w:t xml:space="preserve">isit </w:t>
      </w:r>
      <w:r w:rsidR="0040722E" w:rsidRPr="00A72761">
        <w:rPr>
          <w:rFonts w:cs="Tahoma"/>
        </w:rPr>
        <w:t xml:space="preserve">the SC Department of Natural Resources </w:t>
      </w:r>
      <w:r>
        <w:rPr>
          <w:rFonts w:cs="Tahoma"/>
        </w:rPr>
        <w:t xml:space="preserve">(SCDNR) </w:t>
      </w:r>
      <w:r w:rsidR="0040722E" w:rsidRPr="00A72761">
        <w:rPr>
          <w:rFonts w:cs="Tahoma"/>
        </w:rPr>
        <w:t>website</w:t>
      </w:r>
      <w:r w:rsidR="00C94705" w:rsidRPr="00A72761">
        <w:rPr>
          <w:rFonts w:cs="Tahoma"/>
        </w:rPr>
        <w:t>:</w:t>
      </w:r>
      <w:r w:rsidR="00396403" w:rsidRPr="00A72761">
        <w:rPr>
          <w:rFonts w:cs="Tahoma"/>
        </w:rPr>
        <w:br/>
      </w:r>
      <w:hyperlink r:id="rId32" w:anchor="/natural-heritage-program" w:history="1">
        <w:r w:rsidR="000E0680" w:rsidRPr="00A72761">
          <w:rPr>
            <w:rStyle w:val="Hyperlink"/>
            <w:color w:val="auto"/>
          </w:rPr>
          <w:t>https://schtportal.dnr.sc.gov/portal/apps/sites/#/natural-heritage-program</w:t>
        </w:r>
      </w:hyperlink>
      <w:r w:rsidR="000E0680" w:rsidRPr="00A72761">
        <w:t xml:space="preserve">  This portal provides an immediate response if the project is no factor for SCDNR or if further consultation is required.</w:t>
      </w:r>
    </w:p>
    <w:p w14:paraId="2566227E" w14:textId="340EEBA1" w:rsidR="00565A7B" w:rsidRDefault="00000000" w:rsidP="000D07E1">
      <w:pPr>
        <w:pStyle w:val="Bullet2"/>
        <w:numPr>
          <w:ilvl w:val="0"/>
          <w:numId w:val="21"/>
        </w:numPr>
        <w:ind w:left="1800"/>
      </w:pPr>
      <w:hyperlink r:id="rId33" w:history="1">
        <w:r w:rsidR="00240B19" w:rsidRPr="006E48BD">
          <w:rPr>
            <w:rStyle w:val="Hyperlink"/>
          </w:rPr>
          <w:t>Wild and Scenic Rivers Act</w:t>
        </w:r>
      </w:hyperlink>
    </w:p>
    <w:p w14:paraId="62E7FADA" w14:textId="5CDBCB81" w:rsidR="00240B19" w:rsidRDefault="00000000" w:rsidP="000D07E1">
      <w:pPr>
        <w:pStyle w:val="Bullet2"/>
        <w:numPr>
          <w:ilvl w:val="0"/>
          <w:numId w:val="21"/>
        </w:numPr>
        <w:ind w:left="1800"/>
      </w:pPr>
      <w:hyperlink r:id="rId34" w:history="1">
        <w:r w:rsidR="00240B19" w:rsidRPr="00012B6F">
          <w:rPr>
            <w:rStyle w:val="Hyperlink"/>
          </w:rPr>
          <w:t>Clean Air Act</w:t>
        </w:r>
      </w:hyperlink>
      <w:r w:rsidR="00240B19">
        <w:t xml:space="preserve"> (including removal of asbestos containing materials)</w:t>
      </w:r>
    </w:p>
    <w:p w14:paraId="788F5EAD" w14:textId="16867659" w:rsidR="00240B19" w:rsidRDefault="00000000" w:rsidP="000D07E1">
      <w:pPr>
        <w:pStyle w:val="Bullet2"/>
        <w:numPr>
          <w:ilvl w:val="0"/>
          <w:numId w:val="21"/>
        </w:numPr>
        <w:ind w:left="1800"/>
      </w:pPr>
      <w:hyperlink r:id="rId35" w:history="1">
        <w:r w:rsidR="00240B19" w:rsidRPr="00012B6F">
          <w:rPr>
            <w:rStyle w:val="Hyperlink"/>
          </w:rPr>
          <w:t>Farmland Protection Policy Act</w:t>
        </w:r>
      </w:hyperlink>
    </w:p>
    <w:p w14:paraId="2F2FF8C0" w14:textId="6866E41D" w:rsidR="007D405D" w:rsidRDefault="007D405D" w:rsidP="000D07E1">
      <w:pPr>
        <w:pStyle w:val="Bullet2"/>
        <w:numPr>
          <w:ilvl w:val="0"/>
          <w:numId w:val="21"/>
        </w:numPr>
        <w:ind w:left="1800"/>
      </w:pPr>
      <w:r>
        <w:t>Noise Abatement and Control (</w:t>
      </w:r>
      <w:hyperlink r:id="rId36" w:history="1">
        <w:r w:rsidRPr="00092DBC">
          <w:rPr>
            <w:rStyle w:val="Hyperlink"/>
          </w:rPr>
          <w:t>24 CFR 51, Subpart B</w:t>
        </w:r>
      </w:hyperlink>
      <w:r>
        <w:t>)</w:t>
      </w:r>
    </w:p>
    <w:p w14:paraId="5E66B8C9" w14:textId="62905C5C" w:rsidR="006A7169" w:rsidRPr="00C4719D" w:rsidRDefault="006A7169" w:rsidP="000D07E1">
      <w:pPr>
        <w:pStyle w:val="Bullet2"/>
        <w:numPr>
          <w:ilvl w:val="3"/>
          <w:numId w:val="24"/>
        </w:numPr>
        <w:ind w:left="2160"/>
      </w:pPr>
      <w:r w:rsidRPr="00C4719D">
        <w:t>HUD provides additional guidance concerning noise abatement in “</w:t>
      </w:r>
      <w:hyperlink r:id="rId37" w:history="1">
        <w:r w:rsidRPr="00AD347E">
          <w:rPr>
            <w:rStyle w:val="Hyperlink"/>
          </w:rPr>
          <w:t>The Noise Guidebook</w:t>
        </w:r>
      </w:hyperlink>
      <w:r w:rsidRPr="00C4719D">
        <w:t xml:space="preserve">”.  A copy may be obtained from </w:t>
      </w:r>
      <w:r w:rsidR="00AD347E">
        <w:t>the link above</w:t>
      </w:r>
      <w:r w:rsidRPr="00C4719D">
        <w:t xml:space="preserve">.  </w:t>
      </w:r>
      <w:r>
        <w:t>In general, new construction or substantial rehabilitation of housing, schools/ learning centers, or libraries</w:t>
      </w:r>
      <w:r w:rsidRPr="00C4719D">
        <w:t xml:space="preserve"> are among the noise sensitive activities and </w:t>
      </w:r>
      <w:r>
        <w:t xml:space="preserve">project activities that are located within 1,000 feet of a busy road or highway; 3,000 feet of an operating railroad; or within 15 miles of a civil or military airport </w:t>
      </w:r>
      <w:r w:rsidRPr="00C4719D">
        <w:t xml:space="preserve">are </w:t>
      </w:r>
      <w:r>
        <w:t>likely to require</w:t>
      </w:r>
      <w:r w:rsidRPr="00C4719D">
        <w:t xml:space="preserve"> noise a</w:t>
      </w:r>
      <w:r>
        <w:t>ssessments</w:t>
      </w:r>
      <w:r w:rsidRPr="00C4719D">
        <w:t xml:space="preserve">.  </w:t>
      </w:r>
    </w:p>
    <w:p w14:paraId="25CBEB76" w14:textId="1E5B15AC" w:rsidR="007D405D" w:rsidRDefault="007D405D" w:rsidP="000D07E1">
      <w:pPr>
        <w:pStyle w:val="Bullet2"/>
        <w:numPr>
          <w:ilvl w:val="0"/>
          <w:numId w:val="21"/>
        </w:numPr>
        <w:ind w:left="1800"/>
      </w:pPr>
      <w:r>
        <w:t>Explosive and Flammable Hazards (</w:t>
      </w:r>
      <w:hyperlink r:id="rId38" w:history="1">
        <w:r w:rsidRPr="008E7F46">
          <w:rPr>
            <w:rStyle w:val="Hyperlink"/>
          </w:rPr>
          <w:t>24 CFR Part 5</w:t>
        </w:r>
        <w:r w:rsidR="008D4EEB" w:rsidRPr="008E7F46">
          <w:rPr>
            <w:rStyle w:val="Hyperlink"/>
          </w:rPr>
          <w:t>1</w:t>
        </w:r>
        <w:r w:rsidRPr="008E7F46">
          <w:rPr>
            <w:rStyle w:val="Hyperlink"/>
          </w:rPr>
          <w:t>, Subpart C</w:t>
        </w:r>
      </w:hyperlink>
      <w:r>
        <w:t>)</w:t>
      </w:r>
    </w:p>
    <w:p w14:paraId="1B14CBB0" w14:textId="193080B7" w:rsidR="006A7169" w:rsidRDefault="006A7169" w:rsidP="000D07E1">
      <w:pPr>
        <w:pStyle w:val="Bullet2"/>
        <w:numPr>
          <w:ilvl w:val="3"/>
          <w:numId w:val="24"/>
        </w:numPr>
        <w:ind w:left="2160"/>
      </w:pPr>
      <w:r>
        <w:t>T</w:t>
      </w:r>
      <w:r w:rsidRPr="00C4719D">
        <w:t xml:space="preserve">o document compliance with the requirements regarding separation from hazardous operations see </w:t>
      </w:r>
      <w:hyperlink r:id="rId39" w:history="1">
        <w:r w:rsidRPr="0078383F">
          <w:rPr>
            <w:rStyle w:val="Hyperlink"/>
          </w:rPr>
          <w:t>“Siting of HUD-Assisted Projects Near Hazardous Facilities</w:t>
        </w:r>
      </w:hyperlink>
      <w:r>
        <w:t xml:space="preserve">” </w:t>
      </w:r>
      <w:r w:rsidRPr="00C4719D">
        <w:t xml:space="preserve">at </w:t>
      </w:r>
      <w:r>
        <w:t xml:space="preserve">HUD’s </w:t>
      </w:r>
      <w:r w:rsidRPr="00C4719D">
        <w:t xml:space="preserve">website.  </w:t>
      </w:r>
    </w:p>
    <w:p w14:paraId="07D6CCCC" w14:textId="18C2C416" w:rsidR="007D405D" w:rsidRDefault="007D405D" w:rsidP="000D07E1">
      <w:pPr>
        <w:pStyle w:val="Bullet2"/>
        <w:numPr>
          <w:ilvl w:val="0"/>
          <w:numId w:val="21"/>
        </w:numPr>
        <w:ind w:left="1800"/>
      </w:pPr>
      <w:r>
        <w:t>Contamination and Toxic Substances (</w:t>
      </w:r>
      <w:hyperlink r:id="rId40" w:anchor="p-50.3(i)" w:history="1">
        <w:r w:rsidRPr="0036648D">
          <w:rPr>
            <w:rStyle w:val="Hyperlink"/>
          </w:rPr>
          <w:t>24 CFR Part 50.3(</w:t>
        </w:r>
        <w:proofErr w:type="spellStart"/>
        <w:r w:rsidRPr="0036648D">
          <w:rPr>
            <w:rStyle w:val="Hyperlink"/>
          </w:rPr>
          <w:t>i</w:t>
        </w:r>
        <w:proofErr w:type="spellEnd"/>
        <w:r w:rsidRPr="0036648D">
          <w:rPr>
            <w:rStyle w:val="Hyperlink"/>
          </w:rPr>
          <w:t>)</w:t>
        </w:r>
      </w:hyperlink>
      <w:r>
        <w:t xml:space="preserve"> and </w:t>
      </w:r>
      <w:hyperlink r:id="rId41" w:anchor="p-58.5(i)(2)" w:history="1">
        <w:r w:rsidRPr="003A0B0D">
          <w:rPr>
            <w:rStyle w:val="Hyperlink"/>
          </w:rPr>
          <w:t>58.5 (</w:t>
        </w:r>
        <w:proofErr w:type="spellStart"/>
        <w:r w:rsidRPr="003A0B0D">
          <w:rPr>
            <w:rStyle w:val="Hyperlink"/>
          </w:rPr>
          <w:t>i</w:t>
        </w:r>
        <w:proofErr w:type="spellEnd"/>
        <w:r w:rsidRPr="003A0B0D">
          <w:rPr>
            <w:rStyle w:val="Hyperlink"/>
          </w:rPr>
          <w:t>)(2)</w:t>
        </w:r>
      </w:hyperlink>
    </w:p>
    <w:p w14:paraId="567B67E1" w14:textId="57340FB6" w:rsidR="007D405D" w:rsidRDefault="007D405D" w:rsidP="000D07E1">
      <w:pPr>
        <w:pStyle w:val="Bullet2"/>
        <w:numPr>
          <w:ilvl w:val="3"/>
          <w:numId w:val="24"/>
        </w:numPr>
        <w:ind w:left="2160"/>
      </w:pPr>
      <w:r>
        <w:t xml:space="preserve">Project sites involving rehabilitation, new construction, or demolition of single-family housing (1-4 units) must review the site to see if it is on the </w:t>
      </w:r>
      <w:hyperlink r:id="rId42" w:history="1">
        <w:r w:rsidRPr="00913C1B">
          <w:rPr>
            <w:rStyle w:val="Hyperlink"/>
          </w:rPr>
          <w:t>EPA Superfund National Priorities list</w:t>
        </w:r>
      </w:hyperlink>
      <w:r>
        <w:t xml:space="preserve"> or </w:t>
      </w:r>
      <w:hyperlink r:id="rId43" w:history="1">
        <w:r w:rsidRPr="00913C1B">
          <w:rPr>
            <w:rStyle w:val="Hyperlink"/>
          </w:rPr>
          <w:t>CERCLA lists</w:t>
        </w:r>
      </w:hyperlink>
      <w:r>
        <w:t xml:space="preserve">, is located within 3,000’ of a toxic/solid waste landfill </w:t>
      </w:r>
      <w:r>
        <w:lastRenderedPageBreak/>
        <w:t xml:space="preserve">site, has an underground storage tank, or is known or suspected to be contaminated by toxic/radioactive chemicals. </w:t>
      </w:r>
    </w:p>
    <w:p w14:paraId="574CFE4D" w14:textId="0220C122" w:rsidR="007D405D" w:rsidRDefault="007D405D" w:rsidP="000D07E1">
      <w:pPr>
        <w:pStyle w:val="Bullet2"/>
        <w:numPr>
          <w:ilvl w:val="3"/>
          <w:numId w:val="24"/>
        </w:numPr>
        <w:ind w:left="2160"/>
      </w:pPr>
      <w:r>
        <w:t xml:space="preserve">In addition to the above screening, for projects involving multifamily housing of 5+ units or non-residential properties, the historic uses of the property and adjacent properties must be determined. This applies for renovation, new construction, or demolition. A </w:t>
      </w:r>
      <w:hyperlink r:id="rId44" w:history="1">
        <w:r w:rsidRPr="00EE181B">
          <w:rPr>
            <w:rStyle w:val="Hyperlink"/>
          </w:rPr>
          <w:t>Phase I Environmental Assessment</w:t>
        </w:r>
      </w:hyperlink>
      <w:r>
        <w:t xml:space="preserve"> (ESA) is the most definitive way to satisfy the historic use review requirement. Please note that a Phase I ESA cannot be over 180 days old for a HUD environmental review.</w:t>
      </w:r>
      <w:r w:rsidR="004C77B2">
        <w:t xml:space="preserve"> If potential toxins or hazards are identified during the Phase I, further assessment may be required.</w:t>
      </w:r>
      <w:r w:rsidR="004C77B2" w:rsidRPr="004C77B2">
        <w:t xml:space="preserve"> </w:t>
      </w:r>
    </w:p>
    <w:p w14:paraId="5508EFCA" w14:textId="77777777" w:rsidR="00A11008" w:rsidRPr="00B14CD0" w:rsidRDefault="00CC3A44" w:rsidP="000D07E1">
      <w:pPr>
        <w:pStyle w:val="Bullet2"/>
        <w:numPr>
          <w:ilvl w:val="2"/>
          <w:numId w:val="21"/>
        </w:numPr>
        <w:ind w:left="3240"/>
        <w:rPr>
          <w:rStyle w:val="Hyperlink"/>
          <w:rFonts w:cs="Tahoma"/>
          <w:color w:val="auto"/>
          <w:u w:val="none"/>
        </w:rPr>
      </w:pPr>
      <w:r>
        <w:t xml:space="preserve">Additional guidance is also available on HUD’s website:  </w:t>
      </w:r>
      <w:hyperlink r:id="rId45" w:history="1">
        <w:r w:rsidR="00FF030F" w:rsidRPr="00B14CD0">
          <w:rPr>
            <w:rStyle w:val="Hyperlink"/>
            <w:rFonts w:cs="Tahoma"/>
          </w:rPr>
          <w:t>https://www.hudexchange.info/programs/environmental-review/site-contamination/</w:t>
        </w:r>
      </w:hyperlink>
    </w:p>
    <w:p w14:paraId="5615E2BF" w14:textId="11A3B215" w:rsidR="00A11008" w:rsidRDefault="00A11008" w:rsidP="000D07E1">
      <w:pPr>
        <w:pStyle w:val="Bullet2"/>
        <w:numPr>
          <w:ilvl w:val="2"/>
          <w:numId w:val="21"/>
        </w:numPr>
        <w:ind w:left="3240"/>
      </w:pPr>
      <w:r>
        <w:t>HUD issue</w:t>
      </w:r>
      <w:r w:rsidR="00B14CD0">
        <w:t>d</w:t>
      </w:r>
      <w:r>
        <w:t xml:space="preserve"> </w:t>
      </w:r>
      <w:hyperlink w:anchor="RADON" w:history="1">
        <w:r w:rsidRPr="0078383F">
          <w:rPr>
            <w:rStyle w:val="Hyperlink"/>
          </w:rPr>
          <w:t>Notice CPD-23-103</w:t>
        </w:r>
      </w:hyperlink>
      <w:r>
        <w:t xml:space="preserve"> regarding considering radon in the contamination analysis for projects subject to the contamination regulations at 24 CFR 50.3(</w:t>
      </w:r>
      <w:proofErr w:type="spellStart"/>
      <w:r>
        <w:t>i</w:t>
      </w:r>
      <w:proofErr w:type="spellEnd"/>
      <w:r>
        <w:t>) or 24 CFR 58.5(</w:t>
      </w:r>
      <w:proofErr w:type="spellStart"/>
      <w:r>
        <w:t>i</w:t>
      </w:r>
      <w:proofErr w:type="spellEnd"/>
      <w:r>
        <w:t xml:space="preserve">). See the CDBG website for the CPD Notice and requirements. </w:t>
      </w:r>
    </w:p>
    <w:p w14:paraId="767FA48F" w14:textId="7DF1D98C" w:rsidR="00AE3CD1" w:rsidRDefault="00AE3CD1" w:rsidP="000D07E1">
      <w:pPr>
        <w:pStyle w:val="Normal1"/>
        <w:numPr>
          <w:ilvl w:val="0"/>
          <w:numId w:val="21"/>
        </w:numPr>
        <w:ind w:left="1800"/>
      </w:pPr>
      <w:r>
        <w:t>Environmental Justice</w:t>
      </w:r>
      <w:r w:rsidR="00A93D80">
        <w:t xml:space="preserve"> (Executive Orders </w:t>
      </w:r>
      <w:hyperlink r:id="rId46" w:history="1">
        <w:r w:rsidR="0038524A" w:rsidRPr="0038524A">
          <w:rPr>
            <w:rStyle w:val="Hyperlink"/>
          </w:rPr>
          <w:t>12898</w:t>
        </w:r>
      </w:hyperlink>
      <w:r w:rsidR="00A93D80">
        <w:t xml:space="preserve"> and </w:t>
      </w:r>
      <w:hyperlink r:id="rId47" w:history="1">
        <w:r w:rsidR="00A93D80" w:rsidRPr="00A20D4B">
          <w:rPr>
            <w:rStyle w:val="Hyperlink"/>
          </w:rPr>
          <w:t>13985</w:t>
        </w:r>
      </w:hyperlink>
      <w:r w:rsidR="00A93D80">
        <w:t>)</w:t>
      </w:r>
    </w:p>
    <w:p w14:paraId="19D8FF28" w14:textId="443B204E" w:rsidR="00663FE0" w:rsidRDefault="00663FE0" w:rsidP="000D07E1">
      <w:pPr>
        <w:pStyle w:val="Normal1"/>
        <w:numPr>
          <w:ilvl w:val="0"/>
          <w:numId w:val="21"/>
        </w:numPr>
        <w:ind w:left="1800"/>
      </w:pPr>
      <w:r>
        <w:t>Other Federal Requirements listed at</w:t>
      </w:r>
      <w:r w:rsidR="0078383F">
        <w:t xml:space="preserve"> </w:t>
      </w:r>
      <w:hyperlink r:id="rId48" w:history="1">
        <w:r w:rsidR="0078383F" w:rsidRPr="007C0BF8">
          <w:rPr>
            <w:rStyle w:val="Hyperlink"/>
          </w:rPr>
          <w:t>24 CFR</w:t>
        </w:r>
        <w:r w:rsidRPr="007C0BF8">
          <w:rPr>
            <w:rStyle w:val="Hyperlink"/>
          </w:rPr>
          <w:t xml:space="preserve"> 58.6</w:t>
        </w:r>
      </w:hyperlink>
      <w:r>
        <w:t xml:space="preserve"> (i.e., </w:t>
      </w:r>
      <w:r w:rsidR="008E13D8">
        <w:t>A</w:t>
      </w:r>
      <w:r>
        <w:t xml:space="preserve">irport </w:t>
      </w:r>
      <w:r w:rsidR="008E13D8">
        <w:t>H</w:t>
      </w:r>
      <w:r>
        <w:t xml:space="preserve">azards, </w:t>
      </w:r>
      <w:r w:rsidR="008E13D8">
        <w:t>C</w:t>
      </w:r>
      <w:r>
        <w:t xml:space="preserve">oastal </w:t>
      </w:r>
      <w:r w:rsidR="008E13D8">
        <w:t>B</w:t>
      </w:r>
      <w:r>
        <w:t xml:space="preserve">arrier </w:t>
      </w:r>
      <w:r w:rsidR="008E13D8">
        <w:t>R</w:t>
      </w:r>
      <w:r>
        <w:t xml:space="preserve">esources, and </w:t>
      </w:r>
      <w:r w:rsidR="008E13D8">
        <w:t>F</w:t>
      </w:r>
      <w:r>
        <w:t xml:space="preserve">lood </w:t>
      </w:r>
      <w:r w:rsidR="008E13D8">
        <w:t>D</w:t>
      </w:r>
      <w:r w:rsidR="00E815C4">
        <w:t xml:space="preserve">isaster </w:t>
      </w:r>
      <w:r w:rsidR="008E13D8">
        <w:t>P</w:t>
      </w:r>
      <w:r w:rsidR="00E815C4">
        <w:t>rotection</w:t>
      </w:r>
      <w:r>
        <w:t>).</w:t>
      </w:r>
    </w:p>
    <w:p w14:paraId="34C16917" w14:textId="6A636A23" w:rsidR="00B84A53" w:rsidRDefault="00AE3CD1" w:rsidP="000D07E1">
      <w:pPr>
        <w:pStyle w:val="Normal1"/>
        <w:numPr>
          <w:ilvl w:val="3"/>
          <w:numId w:val="24"/>
        </w:numPr>
        <w:ind w:left="2160"/>
        <w:jc w:val="left"/>
      </w:pPr>
      <w:r>
        <w:t xml:space="preserve">See web site for </w:t>
      </w:r>
      <w:r w:rsidR="008E13D8">
        <w:t>C</w:t>
      </w:r>
      <w:r>
        <w:t xml:space="preserve">oastal </w:t>
      </w:r>
      <w:r w:rsidR="008E13D8">
        <w:t>B</w:t>
      </w:r>
      <w:r>
        <w:t xml:space="preserve">arrier </w:t>
      </w:r>
      <w:r w:rsidR="008E13D8">
        <w:t>R</w:t>
      </w:r>
      <w:r>
        <w:t xml:space="preserve">esources at: </w:t>
      </w:r>
      <w:hyperlink r:id="rId49" w:history="1">
        <w:r w:rsidR="00B84A53" w:rsidRPr="00EE7FAC">
          <w:rPr>
            <w:rStyle w:val="Hyperlink"/>
          </w:rPr>
          <w:t>https://www.fws.gov/CBRA/</w:t>
        </w:r>
      </w:hyperlink>
    </w:p>
    <w:p w14:paraId="7AE95CBC" w14:textId="27BF1FDD" w:rsidR="00B87F6D" w:rsidRPr="00E239F9" w:rsidRDefault="00B87F6D" w:rsidP="000D07E1">
      <w:pPr>
        <w:pStyle w:val="Normal1"/>
        <w:numPr>
          <w:ilvl w:val="3"/>
          <w:numId w:val="37"/>
        </w:numPr>
        <w:jc w:val="left"/>
      </w:pPr>
      <w:proofErr w:type="gramStart"/>
      <w:r>
        <w:t>In order to</w:t>
      </w:r>
      <w:proofErr w:type="gramEnd"/>
      <w:r>
        <w:t xml:space="preserve"> document compliance with all </w:t>
      </w:r>
      <w:r w:rsidR="00150F18">
        <w:t>F</w:t>
      </w:r>
      <w:r>
        <w:t xml:space="preserve">ederal laws and authorities, it is recommended you review </w:t>
      </w:r>
      <w:r w:rsidRPr="00CD11AC">
        <w:t xml:space="preserve">the </w:t>
      </w:r>
      <w:r w:rsidR="00FC7DA6">
        <w:t xml:space="preserve">various compliance documentation resources found in attachments to this chapter, particularly the State of SC </w:t>
      </w:r>
      <w:r w:rsidR="00A93D80">
        <w:t>“</w:t>
      </w:r>
      <w:hyperlink w:anchor="Doc_of_Source_ER" w:history="1">
        <w:r w:rsidR="00FC7DA6" w:rsidRPr="00C00AFB">
          <w:rPr>
            <w:rStyle w:val="Hyperlink"/>
          </w:rPr>
          <w:t>Documentation Sources</w:t>
        </w:r>
      </w:hyperlink>
      <w:r w:rsidR="00A93D80">
        <w:t>”</w:t>
      </w:r>
      <w:r w:rsidR="00FC7DA6">
        <w:t xml:space="preserve"> for HUD Environmental Reviews</w:t>
      </w:r>
      <w:r w:rsidR="00A93D80">
        <w:t xml:space="preserve"> on the CDBG web site</w:t>
      </w:r>
      <w:r w:rsidR="00FC7DA6">
        <w:t>.</w:t>
      </w:r>
    </w:p>
    <w:p w14:paraId="2245A64A" w14:textId="65685BAC" w:rsidR="0057287B" w:rsidRPr="004604E6" w:rsidRDefault="0057287B" w:rsidP="00CE3D83">
      <w:pPr>
        <w:pStyle w:val="Bullet10"/>
        <w:spacing w:after="60"/>
        <w:ind w:left="1080"/>
        <w:rPr>
          <w:b/>
          <w:bCs/>
        </w:rPr>
      </w:pPr>
      <w:r w:rsidRPr="004604E6">
        <w:rPr>
          <w:b/>
          <w:bCs/>
        </w:rPr>
        <w:t xml:space="preserve">Grantees are </w:t>
      </w:r>
      <w:r w:rsidRPr="004604E6">
        <w:rPr>
          <w:b/>
          <w:bCs/>
          <w:u w:val="single"/>
        </w:rPr>
        <w:t>required</w:t>
      </w:r>
      <w:r w:rsidRPr="004604E6">
        <w:rPr>
          <w:b/>
          <w:bCs/>
        </w:rPr>
        <w:t xml:space="preserve"> to complete the following:</w:t>
      </w:r>
    </w:p>
    <w:p w14:paraId="30B27DA3" w14:textId="3D9DDC9B" w:rsidR="0057287B" w:rsidRDefault="00B70EF8" w:rsidP="00CE3D83">
      <w:pPr>
        <w:pStyle w:val="Bullet10"/>
        <w:numPr>
          <w:ilvl w:val="1"/>
          <w:numId w:val="8"/>
        </w:numPr>
        <w:spacing w:after="60"/>
        <w:ind w:left="1800"/>
      </w:pPr>
      <w:r w:rsidRPr="004F6594">
        <w:t xml:space="preserve">Send </w:t>
      </w:r>
      <w:r>
        <w:t xml:space="preserve">a detailed </w:t>
      </w:r>
      <w:r w:rsidRPr="004F6594">
        <w:t>project description and map</w:t>
      </w:r>
      <w:r>
        <w:t>s</w:t>
      </w:r>
      <w:r w:rsidRPr="004F6594">
        <w:t xml:space="preserve"> to the agencies indicated on the required </w:t>
      </w:r>
      <w:hyperlink r:id="rId50" w:history="1">
        <w:r w:rsidRPr="00CB3B64">
          <w:rPr>
            <w:rStyle w:val="Hyperlink"/>
            <w:i/>
          </w:rPr>
          <w:t>Agency Contact List</w:t>
        </w:r>
      </w:hyperlink>
      <w:r w:rsidRPr="004F6594">
        <w:t xml:space="preserve"> (</w:t>
      </w:r>
      <w:r w:rsidR="00CB3B64">
        <w:t xml:space="preserve">also </w:t>
      </w:r>
      <w:r w:rsidRPr="004F6594">
        <w:t>found in the attachments to this Chapter)</w:t>
      </w:r>
      <w:r w:rsidR="00150F18">
        <w:t xml:space="preserve"> to document compliance with all federal laws and authorities</w:t>
      </w:r>
      <w:r w:rsidR="00E73095">
        <w:t>;</w:t>
      </w:r>
      <w:r w:rsidRPr="004F6594">
        <w:t xml:space="preserve">  </w:t>
      </w:r>
    </w:p>
    <w:p w14:paraId="0AA39748" w14:textId="53F612F4" w:rsidR="0057287B" w:rsidRDefault="00B70EF8" w:rsidP="00CE3D83">
      <w:pPr>
        <w:pStyle w:val="Bullet10"/>
        <w:numPr>
          <w:ilvl w:val="1"/>
          <w:numId w:val="8"/>
        </w:numPr>
        <w:spacing w:after="60"/>
        <w:ind w:left="1800"/>
      </w:pPr>
      <w:r>
        <w:t xml:space="preserve">Describe how the activity will be carried out </w:t>
      </w:r>
      <w:r w:rsidR="00961DF0">
        <w:t>(</w:t>
      </w:r>
      <w:r>
        <w:t>e.g., stream crossing, road bores, new construction, slip line existing pipes, etc.</w:t>
      </w:r>
      <w:proofErr w:type="gramStart"/>
      <w:r>
        <w:t>)</w:t>
      </w:r>
      <w:r w:rsidR="00E73095">
        <w:t>;</w:t>
      </w:r>
      <w:proofErr w:type="gramEnd"/>
    </w:p>
    <w:p w14:paraId="70BD6DA1" w14:textId="6C24F7C9" w:rsidR="0057287B" w:rsidRDefault="00B70EF8" w:rsidP="00CE3D83">
      <w:pPr>
        <w:pStyle w:val="Bullet10"/>
        <w:numPr>
          <w:ilvl w:val="1"/>
          <w:numId w:val="8"/>
        </w:numPr>
        <w:spacing w:after="60"/>
        <w:ind w:left="1800"/>
      </w:pPr>
      <w:r w:rsidRPr="004F6594">
        <w:lastRenderedPageBreak/>
        <w:t xml:space="preserve">Indicate whether the project or activity site has previously been disturbed or is a continuation of the same use on the </w:t>
      </w:r>
      <w:proofErr w:type="gramStart"/>
      <w:r w:rsidRPr="004F6594">
        <w:t>site</w:t>
      </w:r>
      <w:r w:rsidR="00E73095">
        <w:t>;</w:t>
      </w:r>
      <w:proofErr w:type="gramEnd"/>
    </w:p>
    <w:p w14:paraId="3015D5B0" w14:textId="6142BCEC" w:rsidR="0057287B" w:rsidRDefault="00B70EF8" w:rsidP="00CE3D83">
      <w:pPr>
        <w:pStyle w:val="Bullet10"/>
        <w:numPr>
          <w:ilvl w:val="1"/>
          <w:numId w:val="8"/>
        </w:numPr>
        <w:spacing w:after="60"/>
        <w:ind w:left="1800"/>
      </w:pPr>
      <w:r>
        <w:t xml:space="preserve">Provide topographical, USGS, </w:t>
      </w:r>
      <w:r w:rsidR="00C5123A">
        <w:t xml:space="preserve">National Wetlands Inventory, </w:t>
      </w:r>
      <w:proofErr w:type="spellStart"/>
      <w:r w:rsidR="00B31D99">
        <w:t>Archsite</w:t>
      </w:r>
      <w:proofErr w:type="spellEnd"/>
      <w:r w:rsidR="00B31D99">
        <w:t xml:space="preserve"> or equivalent, </w:t>
      </w:r>
      <w:r>
        <w:t xml:space="preserve">road map, or other maps which precisely locate the project in relation to applicable environmental </w:t>
      </w:r>
      <w:proofErr w:type="gramStart"/>
      <w:r>
        <w:t>features</w:t>
      </w:r>
      <w:r w:rsidR="00E73095">
        <w:t>;</w:t>
      </w:r>
      <w:proofErr w:type="gramEnd"/>
    </w:p>
    <w:p w14:paraId="040C8DF8" w14:textId="5856A0F2" w:rsidR="0057287B" w:rsidRDefault="009E4323" w:rsidP="00CE3D83">
      <w:pPr>
        <w:pStyle w:val="Bullet10"/>
        <w:numPr>
          <w:ilvl w:val="1"/>
          <w:numId w:val="8"/>
        </w:numPr>
        <w:spacing w:after="60"/>
        <w:ind w:left="1800"/>
      </w:pPr>
      <w:r>
        <w:t xml:space="preserve">Provide a copy of any source documentation related to the applicable environmental </w:t>
      </w:r>
      <w:proofErr w:type="gramStart"/>
      <w:r>
        <w:t>concern</w:t>
      </w:r>
      <w:r w:rsidR="00E73095">
        <w:t>;</w:t>
      </w:r>
      <w:proofErr w:type="gramEnd"/>
    </w:p>
    <w:p w14:paraId="3EEEAC13" w14:textId="0E693D62" w:rsidR="0057287B" w:rsidRDefault="00D13830" w:rsidP="00CE3D83">
      <w:pPr>
        <w:pStyle w:val="Bullet10"/>
        <w:numPr>
          <w:ilvl w:val="1"/>
          <w:numId w:val="8"/>
        </w:numPr>
        <w:spacing w:after="60"/>
        <w:ind w:left="1800"/>
      </w:pPr>
      <w:r>
        <w:t xml:space="preserve">Advise the agency of your </w:t>
      </w:r>
      <w:r w:rsidR="009E4323">
        <w:t xml:space="preserve">preliminary </w:t>
      </w:r>
      <w:r>
        <w:t>findings and r</w:t>
      </w:r>
      <w:r w:rsidR="00240B19" w:rsidRPr="004F6594">
        <w:t xml:space="preserve">equest a written determination of any potential project impacts from each </w:t>
      </w:r>
      <w:proofErr w:type="gramStart"/>
      <w:r w:rsidR="00240B19" w:rsidRPr="004F6594">
        <w:t>agency</w:t>
      </w:r>
      <w:r w:rsidR="00E73095">
        <w:t>;</w:t>
      </w:r>
      <w:proofErr w:type="gramEnd"/>
    </w:p>
    <w:p w14:paraId="1414EF58" w14:textId="7664876E" w:rsidR="0057287B" w:rsidRDefault="00240B19" w:rsidP="00CE3D83">
      <w:pPr>
        <w:pStyle w:val="Bullet10"/>
        <w:numPr>
          <w:ilvl w:val="2"/>
          <w:numId w:val="8"/>
        </w:numPr>
        <w:spacing w:after="60"/>
        <w:ind w:left="2520"/>
      </w:pPr>
      <w:r w:rsidRPr="004F6594">
        <w:t>Allow approximately four business weeks for a response.  If you have not heard from a particular agency within this time frame, it is advisable to place a phone call to the applicable agency</w:t>
      </w:r>
      <w:r w:rsidR="00E73095">
        <w:t>; and</w:t>
      </w:r>
    </w:p>
    <w:p w14:paraId="6597A024" w14:textId="09AC74F6" w:rsidR="00240B19" w:rsidRPr="004F6594" w:rsidRDefault="0057287B" w:rsidP="00CE3D83">
      <w:pPr>
        <w:pStyle w:val="Bullet10"/>
        <w:numPr>
          <w:ilvl w:val="2"/>
          <w:numId w:val="8"/>
        </w:numPr>
        <w:ind w:left="2520"/>
      </w:pPr>
      <w:r>
        <w:t xml:space="preserve">As agency responses are received, review them carefully and complete the Compliance Factors section of the </w:t>
      </w:r>
      <w:hyperlink r:id="rId51" w:history="1">
        <w:r w:rsidRPr="008C5BF5">
          <w:rPr>
            <w:rStyle w:val="Hyperlink"/>
            <w:i/>
            <w:iCs/>
          </w:rPr>
          <w:t>Environmental Review for CEST</w:t>
        </w:r>
      </w:hyperlink>
      <w:r>
        <w:t xml:space="preserve">.  Many </w:t>
      </w:r>
      <w:proofErr w:type="gramStart"/>
      <w:r>
        <w:t>times</w:t>
      </w:r>
      <w:proofErr w:type="gramEnd"/>
      <w:r>
        <w:t xml:space="preserve"> an agency will request additional information or require the recipient to take additional actions.  Respond to these requests at the earliest possible time</w:t>
      </w:r>
      <w:r w:rsidR="00E73095">
        <w:t>.</w:t>
      </w:r>
    </w:p>
    <w:p w14:paraId="3D02DA18" w14:textId="04758012" w:rsidR="00240B19" w:rsidRPr="00E239F9" w:rsidRDefault="00240B19" w:rsidP="00CE3D83">
      <w:pPr>
        <w:pStyle w:val="Bullet10"/>
        <w:ind w:left="1080"/>
      </w:pPr>
      <w:r>
        <w:t xml:space="preserve">If it is determined that </w:t>
      </w:r>
      <w:r w:rsidR="00074A32">
        <w:t>there are no circumstances which require compliance with any</w:t>
      </w:r>
      <w:r>
        <w:t xml:space="preserve"> of the laws and regulations listed </w:t>
      </w:r>
      <w:r w:rsidR="0056677F">
        <w:t>in</w:t>
      </w:r>
      <w:r>
        <w:t xml:space="preserve"> 24 CFR Part 58.5, </w:t>
      </w:r>
      <w:r w:rsidR="00380265">
        <w:t xml:space="preserve">finalize </w:t>
      </w:r>
      <w:r>
        <w:t xml:space="preserve">the </w:t>
      </w:r>
      <w:hyperlink w:anchor="_Chapter_2:_Environmental" w:history="1">
        <w:r w:rsidR="00BB72CA" w:rsidRPr="002D0DBA">
          <w:rPr>
            <w:rStyle w:val="Hyperlink"/>
            <w:i/>
            <w:iCs/>
          </w:rPr>
          <w:t xml:space="preserve">Environmental Review for </w:t>
        </w:r>
        <w:r w:rsidR="00A13087" w:rsidRPr="002D0DBA">
          <w:rPr>
            <w:rStyle w:val="Hyperlink"/>
            <w:i/>
            <w:iCs/>
          </w:rPr>
          <w:t>CEST</w:t>
        </w:r>
      </w:hyperlink>
      <w:r w:rsidR="00BB72CA">
        <w:t xml:space="preserve"> </w:t>
      </w:r>
      <w:r>
        <w:t xml:space="preserve">and submit </w:t>
      </w:r>
      <w:r w:rsidR="00C76760">
        <w:t xml:space="preserve">a </w:t>
      </w:r>
      <w:r w:rsidR="00325769">
        <w:t xml:space="preserve">hard </w:t>
      </w:r>
      <w:r w:rsidR="00C76760">
        <w:t xml:space="preserve">copy of the completed </w:t>
      </w:r>
      <w:r w:rsidR="00BB72CA">
        <w:t>forms</w:t>
      </w:r>
      <w:r w:rsidR="0023770F">
        <w:t xml:space="preserve"> and</w:t>
      </w:r>
      <w:r w:rsidR="00C76760">
        <w:t xml:space="preserve"> supporting </w:t>
      </w:r>
      <w:r w:rsidR="0023770F">
        <w:t>documentation to</w:t>
      </w:r>
      <w:r>
        <w:t xml:space="preserve"> </w:t>
      </w:r>
      <w:r w:rsidR="00731754">
        <w:t>the State</w:t>
      </w:r>
      <w:r w:rsidR="0055722C">
        <w:t xml:space="preserve"> as well as email a complete copy to sc-cdbg@sccommerce.com</w:t>
      </w:r>
      <w:r w:rsidR="00E73095">
        <w:t>;</w:t>
      </w:r>
    </w:p>
    <w:p w14:paraId="5A16EF4F" w14:textId="3C1B32B4" w:rsidR="0057287B" w:rsidRDefault="00240B19" w:rsidP="00CE3D83">
      <w:pPr>
        <w:pStyle w:val="Bullet10"/>
        <w:ind w:left="1080"/>
      </w:pPr>
      <w:r w:rsidRPr="00E239F9">
        <w:t xml:space="preserve">If any </w:t>
      </w:r>
      <w:r w:rsidRPr="00C2485F">
        <w:t xml:space="preserve">circumstances exist which require compliance with the laws and authorities at </w:t>
      </w:r>
      <w:r w:rsidR="002D0DBA">
        <w:t>24 CFR Part 58.</w:t>
      </w:r>
      <w:r w:rsidR="00074A32">
        <w:t>5</w:t>
      </w:r>
      <w:r w:rsidRPr="00C2485F">
        <w:t xml:space="preserve">, complete the applicable procedure(s) and proceed with posting or publication of the </w:t>
      </w:r>
      <w:hyperlink r:id="rId52" w:history="1">
        <w:r w:rsidRPr="00A5433B">
          <w:rPr>
            <w:rStyle w:val="Hyperlink"/>
            <w:i/>
          </w:rPr>
          <w:t>Notice of Intent to Request Release of Funds (NOI/RROF)</w:t>
        </w:r>
      </w:hyperlink>
      <w:r w:rsidRPr="00C2485F">
        <w:t xml:space="preserve">.  Additional information regarding the posting option can be found in </w:t>
      </w:r>
      <w:hyperlink w:anchor="_Section_5_–" w:history="1">
        <w:r w:rsidRPr="002D0DBA">
          <w:rPr>
            <w:rStyle w:val="Hyperlink"/>
          </w:rPr>
          <w:t>Section</w:t>
        </w:r>
        <w:r w:rsidR="00C94705" w:rsidRPr="002D0DBA">
          <w:rPr>
            <w:rStyle w:val="Hyperlink"/>
          </w:rPr>
          <w:t xml:space="preserve"> </w:t>
        </w:r>
        <w:r w:rsidR="009C0C47" w:rsidRPr="002D0DBA">
          <w:rPr>
            <w:rStyle w:val="Hyperlink"/>
          </w:rPr>
          <w:t>5</w:t>
        </w:r>
      </w:hyperlink>
      <w:r w:rsidR="00FC7DA6">
        <w:t xml:space="preserve"> of this </w:t>
      </w:r>
      <w:proofErr w:type="gramStart"/>
      <w:r w:rsidR="00FC7DA6">
        <w:t>chapter</w:t>
      </w:r>
      <w:r w:rsidR="00E73095">
        <w:t>;</w:t>
      </w:r>
      <w:proofErr w:type="gramEnd"/>
    </w:p>
    <w:p w14:paraId="318E95DD" w14:textId="7C191928" w:rsidR="0057287B" w:rsidRPr="00E239F9" w:rsidRDefault="0057287B" w:rsidP="00CE3D83">
      <w:pPr>
        <w:pStyle w:val="Bullet10"/>
        <w:numPr>
          <w:ilvl w:val="1"/>
          <w:numId w:val="8"/>
        </w:numPr>
        <w:ind w:left="1800"/>
      </w:pPr>
      <w:r w:rsidRPr="00C2485F">
        <w:t xml:space="preserve">Submit copies of the </w:t>
      </w:r>
      <w:r w:rsidRPr="00C2485F">
        <w:rPr>
          <w:i/>
        </w:rPr>
        <w:t>Notice of Intent to Request Release of Funds (NOI/RROF)</w:t>
      </w:r>
      <w:r w:rsidRPr="00C2485F">
        <w:t xml:space="preserve"> to </w:t>
      </w:r>
      <w:r>
        <w:t xml:space="preserve">interested individuals and groups, local news media, appropriate </w:t>
      </w:r>
      <w:r w:rsidR="00121640">
        <w:t>S</w:t>
      </w:r>
      <w:r>
        <w:t>tate and Federal agencies</w:t>
      </w:r>
      <w:r w:rsidR="00074A32">
        <w:t>.</w:t>
      </w:r>
    </w:p>
    <w:p w14:paraId="49D6CDB6" w14:textId="2B3EC875" w:rsidR="0057287B" w:rsidRPr="00E239F9" w:rsidRDefault="0057287B" w:rsidP="00CE3D83">
      <w:pPr>
        <w:pStyle w:val="Bullet10"/>
        <w:numPr>
          <w:ilvl w:val="1"/>
          <w:numId w:val="8"/>
        </w:numPr>
        <w:ind w:left="1800"/>
      </w:pPr>
      <w:r w:rsidRPr="00E239F9">
        <w:t xml:space="preserve">The public comment period begins the day after the notice appears in a newspaper of general circulation or is posted according to local public participation procedures.  </w:t>
      </w:r>
      <w:r>
        <w:t xml:space="preserve">Any written comments received in response to these notices must be addressed and filed in the ERR.  Add any commenters to the list of interested persons.  </w:t>
      </w:r>
      <w:r w:rsidRPr="00E239F9">
        <w:t>On the day after the comment period has expired</w:t>
      </w:r>
      <w:r>
        <w:t xml:space="preserve"> (</w:t>
      </w:r>
      <w:r w:rsidR="0030182F" w:rsidRPr="00E239F9">
        <w:t>7-day</w:t>
      </w:r>
      <w:r w:rsidRPr="00E239F9">
        <w:t xml:space="preserve"> comment period f</w:t>
      </w:r>
      <w:r>
        <w:t>or published notices and 10 day period</w:t>
      </w:r>
      <w:r w:rsidRPr="00E239F9">
        <w:t xml:space="preserve"> for posted notices</w:t>
      </w:r>
      <w:r>
        <w:t>),</w:t>
      </w:r>
      <w:r w:rsidRPr="00E239F9">
        <w:t xml:space="preserve"> submit the </w:t>
      </w:r>
      <w:hyperlink r:id="rId53" w:history="1">
        <w:r w:rsidRPr="00193210">
          <w:rPr>
            <w:rStyle w:val="Hyperlink"/>
            <w:i/>
          </w:rPr>
          <w:t>Request for Release of Funds and Certification</w:t>
        </w:r>
      </w:hyperlink>
      <w:r w:rsidRPr="00E239F9">
        <w:t xml:space="preserve"> to </w:t>
      </w:r>
      <w:r>
        <w:t>the State</w:t>
      </w:r>
      <w:r w:rsidRPr="00E239F9">
        <w:t xml:space="preserve">.  A </w:t>
      </w:r>
      <w:r w:rsidR="000B726D">
        <w:t xml:space="preserve">hard </w:t>
      </w:r>
      <w:r w:rsidRPr="00E239F9">
        <w:lastRenderedPageBreak/>
        <w:t>copy of the</w:t>
      </w:r>
      <w:r w:rsidRPr="00E239F9">
        <w:rPr>
          <w:szCs w:val="24"/>
        </w:rPr>
        <w:t xml:space="preserve"> </w:t>
      </w:r>
      <w:r>
        <w:rPr>
          <w:i/>
        </w:rPr>
        <w:t>Environmental Review for CEST</w:t>
      </w:r>
      <w:r w:rsidRPr="00E239F9">
        <w:rPr>
          <w:szCs w:val="24"/>
        </w:rPr>
        <w:t>,</w:t>
      </w:r>
      <w:r w:rsidRPr="00E239F9">
        <w:t xml:space="preserve"> as well as copies of all other relevant documents and Notices must also be </w:t>
      </w:r>
      <w:r w:rsidR="000B726D">
        <w:t>mailed</w:t>
      </w:r>
      <w:r w:rsidRPr="00E239F9">
        <w:t xml:space="preserve"> to </w:t>
      </w:r>
      <w:r>
        <w:t>the State</w:t>
      </w:r>
      <w:r w:rsidRPr="00E239F9">
        <w:t xml:space="preserve"> </w:t>
      </w:r>
      <w:r w:rsidR="000B726D">
        <w:t>and emailed to sc-cdbg@sccommerce.com.</w:t>
      </w:r>
    </w:p>
    <w:p w14:paraId="50B3BF68" w14:textId="4786A465" w:rsidR="00240B19" w:rsidRPr="00E239F9" w:rsidRDefault="00731754" w:rsidP="00CE3D83">
      <w:pPr>
        <w:pStyle w:val="Bullet10"/>
        <w:ind w:left="1080"/>
      </w:pPr>
      <w:r>
        <w:t>The State</w:t>
      </w:r>
      <w:r w:rsidR="00240B19">
        <w:t xml:space="preserve"> cannot approve the </w:t>
      </w:r>
      <w:r w:rsidR="00240B19" w:rsidRPr="2FBB6E41">
        <w:rPr>
          <w:i/>
          <w:iCs/>
        </w:rPr>
        <w:t xml:space="preserve">Request for Release of Funds and Certification </w:t>
      </w:r>
      <w:r w:rsidR="00240B19">
        <w:t xml:space="preserve">before 15 calendar days have elapsed from the time of receipt of the Request or from the time specified in the Notice, whichever is later.  This </w:t>
      </w:r>
      <w:proofErr w:type="gramStart"/>
      <w:r w:rsidR="00240B19">
        <w:t>time period</w:t>
      </w:r>
      <w:proofErr w:type="gramEnd"/>
      <w:r w:rsidR="00240B19">
        <w:t xml:space="preserve"> </w:t>
      </w:r>
      <w:r w:rsidR="00D8530E">
        <w:t xml:space="preserve">allows for </w:t>
      </w:r>
      <w:r w:rsidR="00240B19">
        <w:t>consider</w:t>
      </w:r>
      <w:r w:rsidR="00D8530E">
        <w:t>ation of</w:t>
      </w:r>
      <w:r w:rsidR="00240B19">
        <w:t xml:space="preserve"> any valid objections to procedural errors by the recipient. (</w:t>
      </w:r>
      <w:r w:rsidR="00240B19" w:rsidRPr="004604E6">
        <w:rPr>
          <w:i/>
          <w:iCs/>
        </w:rPr>
        <w:t>See</w:t>
      </w:r>
      <w:r w:rsidR="00240B19">
        <w:t xml:space="preserve"> </w:t>
      </w:r>
      <w:hyperlink r:id="rId54" w:history="1">
        <w:r w:rsidR="00240B19" w:rsidRPr="005C0A36">
          <w:rPr>
            <w:rStyle w:val="Hyperlink"/>
          </w:rPr>
          <w:t>24 CFR Part 58.75</w:t>
        </w:r>
      </w:hyperlink>
      <w:r w:rsidR="00240B19">
        <w:t xml:space="preserve">)  After expiration of the </w:t>
      </w:r>
      <w:proofErr w:type="gramStart"/>
      <w:r w:rsidR="00240B19">
        <w:t>time period</w:t>
      </w:r>
      <w:proofErr w:type="gramEnd"/>
      <w:r w:rsidR="00240B19">
        <w:t xml:space="preserve">, </w:t>
      </w:r>
      <w:r>
        <w:t>the State</w:t>
      </w:r>
      <w:r w:rsidR="00D8530E">
        <w:t xml:space="preserve"> </w:t>
      </w:r>
      <w:r w:rsidR="00240B19">
        <w:t xml:space="preserve">will issue a </w:t>
      </w:r>
      <w:r w:rsidR="00240B19" w:rsidRPr="2FBB6E41">
        <w:rPr>
          <w:i/>
          <w:iCs/>
        </w:rPr>
        <w:t>Notice of Removal of Environmental Conditions</w:t>
      </w:r>
      <w:r w:rsidR="00224B09">
        <w:t>.</w:t>
      </w:r>
    </w:p>
    <w:p w14:paraId="1AC2D638" w14:textId="36FDEEF0" w:rsidR="00240B19" w:rsidRPr="00646897" w:rsidRDefault="00240B19" w:rsidP="00CE3D83">
      <w:pPr>
        <w:pStyle w:val="Bullet10"/>
        <w:ind w:left="1080"/>
      </w:pPr>
      <w:r w:rsidRPr="00646897">
        <w:t xml:space="preserve">Place the originals of all documents, </w:t>
      </w:r>
      <w:r w:rsidR="002E1BE7" w:rsidRPr="00646897">
        <w:t xml:space="preserve">any comments received, </w:t>
      </w:r>
      <w:r w:rsidRPr="00646897">
        <w:t xml:space="preserve">as well as </w:t>
      </w:r>
      <w:r w:rsidR="00254608" w:rsidRPr="00646897">
        <w:t>proof of publication/posting documentation</w:t>
      </w:r>
      <w:r w:rsidR="00671032" w:rsidRPr="00646897">
        <w:t>,</w:t>
      </w:r>
      <w:r w:rsidR="00254608" w:rsidRPr="00646897">
        <w:t xml:space="preserve"> </w:t>
      </w:r>
      <w:r w:rsidRPr="00646897">
        <w:t>in a file labeled ERR.</w:t>
      </w:r>
    </w:p>
    <w:p w14:paraId="606935E0" w14:textId="07AD88E3" w:rsidR="00240B19" w:rsidRDefault="00240B19" w:rsidP="006B66D4">
      <w:pPr>
        <w:pStyle w:val="Heading3"/>
      </w:pPr>
      <w:r>
        <w:t>Environmental Assessment</w:t>
      </w:r>
      <w:r w:rsidR="00121B9D">
        <w:t xml:space="preserve"> (EA)</w:t>
      </w:r>
    </w:p>
    <w:p w14:paraId="3F44A9BE" w14:textId="35C341EA" w:rsidR="00240B19" w:rsidRDefault="00240B19" w:rsidP="006B66D4">
      <w:pPr>
        <w:pStyle w:val="Normal1"/>
      </w:pPr>
      <w:r>
        <w:t xml:space="preserve">If a project is not </w:t>
      </w:r>
      <w:r w:rsidR="00F074C3">
        <w:t>e</w:t>
      </w:r>
      <w:r>
        <w:t xml:space="preserve">xempt </w:t>
      </w:r>
      <w:r w:rsidR="00F074C3">
        <w:t xml:space="preserve">pursuant to </w:t>
      </w:r>
      <w:r>
        <w:t>24 CFR Part 58.34</w:t>
      </w:r>
      <w:r w:rsidR="00F074C3">
        <w:t>,</w:t>
      </w:r>
      <w:r>
        <w:t xml:space="preserve"> or </w:t>
      </w:r>
      <w:r w:rsidR="00F074C3">
        <w:t>c</w:t>
      </w:r>
      <w:r>
        <w:t xml:space="preserve">ategorically </w:t>
      </w:r>
      <w:r w:rsidR="00F074C3">
        <w:t>e</w:t>
      </w:r>
      <w:r>
        <w:t xml:space="preserve">xcluded </w:t>
      </w:r>
      <w:r w:rsidR="00F074C3">
        <w:t xml:space="preserve">per </w:t>
      </w:r>
      <w:r>
        <w:t xml:space="preserve">24 CFR Part 58.35, a full </w:t>
      </w:r>
      <w:hyperlink w:anchor="EA_Def" w:history="1">
        <w:r w:rsidRPr="004604E6">
          <w:rPr>
            <w:rStyle w:val="Hyperlink"/>
            <w:i/>
            <w:iCs/>
          </w:rPr>
          <w:t>Environmental Assessment</w:t>
        </w:r>
      </w:hyperlink>
      <w:r>
        <w:t xml:space="preserve"> is required.  Therefore, the </w:t>
      </w:r>
      <w:r w:rsidR="00F11680">
        <w:rPr>
          <w:i/>
        </w:rPr>
        <w:t xml:space="preserve">Environmental Assessment </w:t>
      </w:r>
      <w:r>
        <w:t xml:space="preserve">must be completed in order to comply with </w:t>
      </w:r>
      <w:proofErr w:type="gramStart"/>
      <w:r>
        <w:t>NEPA</w:t>
      </w:r>
      <w:proofErr w:type="gramEnd"/>
      <w:r>
        <w:t xml:space="preserve"> and the related Federal laws and authorities cited at </w:t>
      </w:r>
      <w:r w:rsidR="00C84E56">
        <w:t>24 CFR Part</w:t>
      </w:r>
      <w:r>
        <w:t xml:space="preserve"> 58.5.  </w:t>
      </w:r>
    </w:p>
    <w:p w14:paraId="1BF36322" w14:textId="1EC46CF3" w:rsidR="00AC7E3B" w:rsidRDefault="00240B19" w:rsidP="006B66D4">
      <w:pPr>
        <w:pStyle w:val="Normal1"/>
      </w:pPr>
      <w:r>
        <w:t xml:space="preserve">It should also be noted that if a project consists of several activities, some of which are categorically excluded and some which </w:t>
      </w:r>
      <w:r w:rsidRPr="00B57DC6">
        <w:t>require an environmental assessment</w:t>
      </w:r>
      <w:r>
        <w:t xml:space="preserve">, the </w:t>
      </w:r>
      <w:r w:rsidR="000656DA">
        <w:t>R</w:t>
      </w:r>
      <w:r>
        <w:t>ecipient must aggregate the related activities and conduct an environmental assessment on the entire project.</w:t>
      </w:r>
    </w:p>
    <w:p w14:paraId="659476DF" w14:textId="70946FEE" w:rsidR="00AC7E3B" w:rsidRDefault="00A05C08" w:rsidP="006B66D4">
      <w:pPr>
        <w:pStyle w:val="Bullet10"/>
        <w:numPr>
          <w:ilvl w:val="0"/>
          <w:numId w:val="0"/>
        </w:numPr>
      </w:pPr>
      <w:r>
        <w:t>G</w:t>
      </w:r>
      <w:r w:rsidR="00AC7E3B">
        <w:t>rantees</w:t>
      </w:r>
      <w:r>
        <w:t xml:space="preserve"> are encouraged</w:t>
      </w:r>
      <w:r w:rsidR="00AC7E3B">
        <w:t xml:space="preserve"> to conduct environmental reviews for improvements to target areas and neighborhoods rather than limiting the environmental assessment to just the activity being proposed or to the streets being addressed within a neighborhood.</w:t>
      </w:r>
    </w:p>
    <w:p w14:paraId="0ED9B8AB" w14:textId="77777777" w:rsidR="00240B19" w:rsidRDefault="00240B19" w:rsidP="006B66D4">
      <w:pPr>
        <w:pStyle w:val="Normal1"/>
        <w:keepNext/>
      </w:pPr>
      <w:r>
        <w:t xml:space="preserve">The following procedures apply to completion of Environmental Assessments: </w:t>
      </w:r>
    </w:p>
    <w:p w14:paraId="518E39FB" w14:textId="0E9992D1" w:rsidR="00E912F6" w:rsidRDefault="00272DD3" w:rsidP="000D07E1">
      <w:pPr>
        <w:pStyle w:val="Bullet10"/>
        <w:numPr>
          <w:ilvl w:val="0"/>
          <w:numId w:val="35"/>
        </w:numPr>
      </w:pPr>
      <w:r>
        <w:t>Complete t</w:t>
      </w:r>
      <w:r w:rsidR="00240B19">
        <w:t xml:space="preserve">he </w:t>
      </w:r>
      <w:r w:rsidR="00BB72CA" w:rsidRPr="2FBB6E41">
        <w:rPr>
          <w:i/>
          <w:iCs/>
        </w:rPr>
        <w:t>Environmental Assessment</w:t>
      </w:r>
      <w:r>
        <w:t xml:space="preserve">, which </w:t>
      </w:r>
      <w:r w:rsidR="00467F97">
        <w:t xml:space="preserve">requires grantees to </w:t>
      </w:r>
      <w:r w:rsidR="00E912F6">
        <w:t xml:space="preserve">document compliance with all Federal laws and authorities </w:t>
      </w:r>
      <w:r w:rsidR="00240B19">
        <w:t xml:space="preserve">and apply any mitigation procedures necessitated by the laws and requirements cited at 24 CFR </w:t>
      </w:r>
      <w:r w:rsidR="00380265">
        <w:t xml:space="preserve">Part 50.4, </w:t>
      </w:r>
      <w:r w:rsidR="00240B19">
        <w:t>Part 58.5</w:t>
      </w:r>
      <w:r w:rsidR="00380265">
        <w:t>, 58.6</w:t>
      </w:r>
      <w:r w:rsidR="00304738">
        <w:t>. Note that further guidance on each factor is available via the</w:t>
      </w:r>
      <w:hyperlink w:anchor="Doc_of_Source_ER" w:history="1">
        <w:r w:rsidR="00304738" w:rsidRPr="0078383F">
          <w:rPr>
            <w:rStyle w:val="Hyperlink"/>
          </w:rPr>
          <w:t xml:space="preserve"> “Documentation of Sources”</w:t>
        </w:r>
      </w:hyperlink>
      <w:r w:rsidR="00304738">
        <w:t xml:space="preserve"> on the CDBG web site, Environmental chapter attachments</w:t>
      </w:r>
      <w:r w:rsidR="00E73095">
        <w:t>.</w:t>
      </w:r>
    </w:p>
    <w:p w14:paraId="34A2049D" w14:textId="319C9006" w:rsidR="00121B9D" w:rsidRDefault="00121B9D" w:rsidP="000D07E1">
      <w:pPr>
        <w:pStyle w:val="Bullet10"/>
        <w:numPr>
          <w:ilvl w:val="0"/>
          <w:numId w:val="35"/>
        </w:numPr>
      </w:pPr>
      <w:r>
        <w:t>In addition to the laws and authorities listed in 58.5 and all those outlined in the prior “Categorically Excluded Subject to” section</w:t>
      </w:r>
      <w:r w:rsidR="00836732">
        <w:t xml:space="preserve"> of the manual</w:t>
      </w:r>
      <w:r>
        <w:t xml:space="preserve">, for EA’s </w:t>
      </w:r>
      <w:r w:rsidR="00382F10">
        <w:t>grantees must</w:t>
      </w:r>
      <w:r>
        <w:t xml:space="preserve"> also comply with all </w:t>
      </w:r>
      <w:r w:rsidR="00382F10">
        <w:t>the NEPA Environmental Asses</w:t>
      </w:r>
      <w:r w:rsidR="00836732">
        <w:t>s</w:t>
      </w:r>
      <w:r w:rsidR="00382F10">
        <w:t xml:space="preserve">ment factors </w:t>
      </w:r>
      <w:r w:rsidR="00885B72">
        <w:t xml:space="preserve">as outlined on HUD’s web site </w:t>
      </w:r>
      <w:r w:rsidR="00981DF6">
        <w:t xml:space="preserve">at </w:t>
      </w:r>
      <w:hyperlink r:id="rId55" w:history="1">
        <w:r w:rsidR="00981DF6" w:rsidRPr="00224B09">
          <w:rPr>
            <w:rStyle w:val="cf01"/>
            <w:rFonts w:ascii="Tahoma" w:hAnsi="Tahoma" w:cs="Tahoma"/>
            <w:color w:val="0000FF"/>
            <w:u w:val="single"/>
          </w:rPr>
          <w:t>https://www.hudexchange.info/programs/environmental-review/environmental-assessment/</w:t>
        </w:r>
      </w:hyperlink>
      <w:r w:rsidR="00981DF6">
        <w:rPr>
          <w:rFonts w:ascii="Arial" w:hAnsi="Arial" w:cs="Arial"/>
          <w:sz w:val="20"/>
        </w:rPr>
        <w:t xml:space="preserve"> </w:t>
      </w:r>
      <w:r w:rsidR="00382F10">
        <w:t>that include:</w:t>
      </w:r>
    </w:p>
    <w:p w14:paraId="7A80EEA7" w14:textId="40C19DCE" w:rsidR="00382F10" w:rsidRDefault="00836732" w:rsidP="000D07E1">
      <w:pPr>
        <w:pStyle w:val="Bullet10"/>
        <w:numPr>
          <w:ilvl w:val="0"/>
          <w:numId w:val="32"/>
        </w:numPr>
      </w:pPr>
      <w:r w:rsidRPr="00224B09">
        <w:rPr>
          <w:u w:val="single"/>
        </w:rPr>
        <w:lastRenderedPageBreak/>
        <w:t>Land Development</w:t>
      </w:r>
      <w:r>
        <w:t xml:space="preserve"> – This includes </w:t>
      </w:r>
      <w:r w:rsidR="00724891">
        <w:t>C</w:t>
      </w:r>
      <w:r>
        <w:t xml:space="preserve">onformance with </w:t>
      </w:r>
      <w:r w:rsidR="00724891">
        <w:t>P</w:t>
      </w:r>
      <w:r>
        <w:t xml:space="preserve">lans, </w:t>
      </w:r>
      <w:r w:rsidR="00724891">
        <w:t>L</w:t>
      </w:r>
      <w:r>
        <w:t xml:space="preserve">and </w:t>
      </w:r>
      <w:r w:rsidR="00724891">
        <w:t>U</w:t>
      </w:r>
      <w:r>
        <w:t xml:space="preserve">se and </w:t>
      </w:r>
      <w:r w:rsidR="00724891">
        <w:t>Z</w:t>
      </w:r>
      <w:r>
        <w:t xml:space="preserve">oning, </w:t>
      </w:r>
      <w:r w:rsidR="00724891">
        <w:t>S</w:t>
      </w:r>
      <w:r>
        <w:t xml:space="preserve">cale and </w:t>
      </w:r>
      <w:r w:rsidR="00724891">
        <w:t>U</w:t>
      </w:r>
      <w:r>
        <w:t xml:space="preserve">rban design, </w:t>
      </w:r>
      <w:r w:rsidR="00724891">
        <w:t>S</w:t>
      </w:r>
      <w:r>
        <w:t xml:space="preserve">oil </w:t>
      </w:r>
      <w:r w:rsidR="00724891">
        <w:t>S</w:t>
      </w:r>
      <w:r>
        <w:t xml:space="preserve">uitability, </w:t>
      </w:r>
      <w:r w:rsidR="00724891">
        <w:t>E</w:t>
      </w:r>
      <w:r>
        <w:t xml:space="preserve">rosion, </w:t>
      </w:r>
      <w:r w:rsidR="00724891">
        <w:t>D</w:t>
      </w:r>
      <w:r>
        <w:t xml:space="preserve">rainage, </w:t>
      </w:r>
      <w:r w:rsidR="00724891">
        <w:t>S</w:t>
      </w:r>
      <w:r>
        <w:t xml:space="preserve">tormwater </w:t>
      </w:r>
      <w:r w:rsidR="00724891">
        <w:t>R</w:t>
      </w:r>
      <w:r>
        <w:t xml:space="preserve">unoff, </w:t>
      </w:r>
      <w:r w:rsidR="00724891">
        <w:t>H</w:t>
      </w:r>
      <w:r>
        <w:t xml:space="preserve">azards and </w:t>
      </w:r>
      <w:r w:rsidR="00724891">
        <w:t>N</w:t>
      </w:r>
      <w:r>
        <w:t xml:space="preserve">uisances, and </w:t>
      </w:r>
      <w:r w:rsidR="00724891">
        <w:t>E</w:t>
      </w:r>
      <w:r>
        <w:t xml:space="preserve">nergy </w:t>
      </w:r>
      <w:r w:rsidR="00724891">
        <w:t>C</w:t>
      </w:r>
      <w:r>
        <w:t>onsumption.</w:t>
      </w:r>
    </w:p>
    <w:p w14:paraId="455D2F0A" w14:textId="6CBA155F" w:rsidR="00836732" w:rsidRDefault="00836732" w:rsidP="000D07E1">
      <w:pPr>
        <w:pStyle w:val="Bullet10"/>
        <w:numPr>
          <w:ilvl w:val="0"/>
          <w:numId w:val="32"/>
        </w:numPr>
      </w:pPr>
      <w:r>
        <w:rPr>
          <w:u w:val="single"/>
        </w:rPr>
        <w:t>Socioeconomic</w:t>
      </w:r>
      <w:r>
        <w:t xml:space="preserve"> –</w:t>
      </w:r>
      <w:r w:rsidR="00813774">
        <w:t xml:space="preserve"> This includes Em</w:t>
      </w:r>
      <w:r>
        <w:t>ployment/</w:t>
      </w:r>
      <w:r w:rsidR="00813774">
        <w:t>I</w:t>
      </w:r>
      <w:r>
        <w:t xml:space="preserve">ncome </w:t>
      </w:r>
      <w:r w:rsidR="00813774">
        <w:t>P</w:t>
      </w:r>
      <w:r>
        <w:t xml:space="preserve">atterns, </w:t>
      </w:r>
      <w:r w:rsidR="00813774">
        <w:t>D</w:t>
      </w:r>
      <w:r>
        <w:t xml:space="preserve">emographic </w:t>
      </w:r>
      <w:r w:rsidR="00813774">
        <w:t>C</w:t>
      </w:r>
      <w:r>
        <w:t xml:space="preserve">haracter </w:t>
      </w:r>
      <w:r w:rsidR="00813774">
        <w:t>C</w:t>
      </w:r>
      <w:r>
        <w:t xml:space="preserve">hanges, </w:t>
      </w:r>
      <w:r w:rsidR="00813774">
        <w:t>D</w:t>
      </w:r>
      <w:r>
        <w:t>isplacement</w:t>
      </w:r>
      <w:r w:rsidR="00813774">
        <w:t>.</w:t>
      </w:r>
    </w:p>
    <w:p w14:paraId="2F51EC62" w14:textId="133ED690" w:rsidR="00836732" w:rsidRDefault="00836732" w:rsidP="000D07E1">
      <w:pPr>
        <w:pStyle w:val="Bullet10"/>
        <w:numPr>
          <w:ilvl w:val="0"/>
          <w:numId w:val="32"/>
        </w:numPr>
      </w:pPr>
      <w:r>
        <w:rPr>
          <w:u w:val="single"/>
        </w:rPr>
        <w:t>Community Facilities/Services</w:t>
      </w:r>
      <w:r>
        <w:t xml:space="preserve"> </w:t>
      </w:r>
      <w:r w:rsidR="00813774">
        <w:t>–</w:t>
      </w:r>
      <w:r>
        <w:t xml:space="preserve"> </w:t>
      </w:r>
      <w:r w:rsidR="00813774">
        <w:t>This includes Educational/Cultural, Commercial, Healthcare/Social services, Solid Waste Disposal/Recycling, Wastewater/Sanitary Sewer, Water Supply, Public Safety, Parks/Open Space/Recreation, Transportation &amp; Accessibility.</w:t>
      </w:r>
    </w:p>
    <w:p w14:paraId="7973A163" w14:textId="139E3539" w:rsidR="00813774" w:rsidRDefault="00813774" w:rsidP="000D07E1">
      <w:pPr>
        <w:pStyle w:val="Bullet10"/>
        <w:numPr>
          <w:ilvl w:val="0"/>
          <w:numId w:val="32"/>
        </w:numPr>
      </w:pPr>
      <w:r>
        <w:rPr>
          <w:u w:val="single"/>
        </w:rPr>
        <w:t>Natural Features</w:t>
      </w:r>
      <w:r>
        <w:t xml:space="preserve"> – This includes Unique Natural Features/Water Resources, Vegetation/Wildlife, and Other Environmental Review factors such as Climate Change. </w:t>
      </w:r>
    </w:p>
    <w:p w14:paraId="63F9CED7" w14:textId="3AA5F56F" w:rsidR="00224B09" w:rsidRPr="00813774" w:rsidRDefault="00224B09" w:rsidP="000D07E1">
      <w:pPr>
        <w:pStyle w:val="Bullet10"/>
        <w:numPr>
          <w:ilvl w:val="0"/>
          <w:numId w:val="32"/>
        </w:numPr>
      </w:pPr>
      <w:r>
        <w:rPr>
          <w:u w:val="single"/>
        </w:rPr>
        <w:t>Climate Change &amp; Energy</w:t>
      </w:r>
      <w:r>
        <w:t xml:space="preserve"> – This includes climate change impacts and energy efficiency.</w:t>
      </w:r>
    </w:p>
    <w:p w14:paraId="6BFCFF3B" w14:textId="4139B176" w:rsidR="00B87F6D" w:rsidRPr="00E239F9" w:rsidRDefault="00B87F6D" w:rsidP="00B87F6D">
      <w:pPr>
        <w:pStyle w:val="Bullet10"/>
      </w:pPr>
      <w:proofErr w:type="gramStart"/>
      <w:r>
        <w:t>In</w:t>
      </w:r>
      <w:r w:rsidR="00C97B01">
        <w:t xml:space="preserve"> order to</w:t>
      </w:r>
      <w:proofErr w:type="gramEnd"/>
      <w:r w:rsidR="00C97B01">
        <w:t xml:space="preserve"> document compliance with all Federal laws and authorities, it is recommended </w:t>
      </w:r>
      <w:r w:rsidR="00C96F87">
        <w:t xml:space="preserve">that </w:t>
      </w:r>
      <w:r w:rsidR="007E6F36">
        <w:t>funding recipients</w:t>
      </w:r>
      <w:r w:rsidR="00C97B01">
        <w:t xml:space="preserve"> review the various compliance documentation resources found in </w:t>
      </w:r>
      <w:r w:rsidR="007E6F36">
        <w:t xml:space="preserve">the </w:t>
      </w:r>
      <w:r w:rsidR="00C97B01">
        <w:t xml:space="preserve">attachments to this chapter, particularly the State of SC </w:t>
      </w:r>
      <w:r w:rsidR="00224B09">
        <w:t>“</w:t>
      </w:r>
      <w:r w:rsidR="00C97B01">
        <w:t>Documentation Sources</w:t>
      </w:r>
      <w:r w:rsidR="0067208E">
        <w:t>.”</w:t>
      </w:r>
    </w:p>
    <w:p w14:paraId="17F88DBD" w14:textId="7E1B8B2C" w:rsidR="00A642B5" w:rsidRDefault="00A642B5" w:rsidP="00B87F6D">
      <w:pPr>
        <w:pStyle w:val="Bullet10"/>
        <w:spacing w:after="60"/>
      </w:pPr>
      <w:r>
        <w:t>Grantees are</w:t>
      </w:r>
      <w:r w:rsidR="00467F97">
        <w:t xml:space="preserve"> also</w:t>
      </w:r>
      <w:r>
        <w:t xml:space="preserve"> required to complete the following:</w:t>
      </w:r>
    </w:p>
    <w:p w14:paraId="219183F1" w14:textId="225D5B5C" w:rsidR="00A642B5" w:rsidRDefault="00961DF0" w:rsidP="00A642B5">
      <w:pPr>
        <w:pStyle w:val="Bullet10"/>
        <w:numPr>
          <w:ilvl w:val="1"/>
          <w:numId w:val="8"/>
        </w:numPr>
        <w:spacing w:after="60"/>
      </w:pPr>
      <w:r w:rsidRPr="00CD11AC">
        <w:t xml:space="preserve">Send </w:t>
      </w:r>
      <w:r>
        <w:t>a detailed</w:t>
      </w:r>
      <w:r w:rsidRPr="00CD11AC">
        <w:t xml:space="preserve"> </w:t>
      </w:r>
      <w:r w:rsidR="00B87F6D">
        <w:t xml:space="preserve">project </w:t>
      </w:r>
      <w:r w:rsidRPr="00CD11AC">
        <w:t>description and map</w:t>
      </w:r>
      <w:r>
        <w:t>s</w:t>
      </w:r>
      <w:r w:rsidRPr="00CD11AC">
        <w:t xml:space="preserve"> to the agencies indicated on the </w:t>
      </w:r>
      <w:hyperlink r:id="rId56" w:history="1">
        <w:r w:rsidRPr="000E52CE">
          <w:rPr>
            <w:rStyle w:val="Hyperlink"/>
            <w:i/>
          </w:rPr>
          <w:t>Agency Contact List</w:t>
        </w:r>
      </w:hyperlink>
      <w:r>
        <w:rPr>
          <w:i/>
        </w:rPr>
        <w:t xml:space="preserve"> </w:t>
      </w:r>
      <w:r w:rsidR="00B87F6D">
        <w:t>to document compliance with all Federal law and authorities</w:t>
      </w:r>
      <w:r w:rsidR="00E73095">
        <w:t>;</w:t>
      </w:r>
    </w:p>
    <w:p w14:paraId="5FB8559E" w14:textId="72869EDA" w:rsidR="00A642B5" w:rsidRDefault="00961DF0" w:rsidP="00A642B5">
      <w:pPr>
        <w:pStyle w:val="Bullet10"/>
        <w:numPr>
          <w:ilvl w:val="1"/>
          <w:numId w:val="8"/>
        </w:numPr>
        <w:spacing w:after="60"/>
      </w:pPr>
      <w:r>
        <w:t xml:space="preserve">Describe how the activity will be carried out (e.g., stream crossing, road bores, new </w:t>
      </w:r>
      <w:r w:rsidRPr="00C2485F">
        <w:t>construction, slip line existing pipes, etc.</w:t>
      </w:r>
      <w:proofErr w:type="gramStart"/>
      <w:r w:rsidRPr="00C2485F">
        <w:t>)</w:t>
      </w:r>
      <w:r w:rsidR="00E73095">
        <w:t>;</w:t>
      </w:r>
      <w:proofErr w:type="gramEnd"/>
    </w:p>
    <w:p w14:paraId="03C38D1C" w14:textId="68031BBC" w:rsidR="00502A39" w:rsidRDefault="00502A39" w:rsidP="00A642B5">
      <w:pPr>
        <w:pStyle w:val="Bullet10"/>
        <w:numPr>
          <w:ilvl w:val="1"/>
          <w:numId w:val="8"/>
        </w:numPr>
        <w:spacing w:after="60"/>
      </w:pPr>
      <w:r>
        <w:t xml:space="preserve">Indicate whether the project or activity site has been previously disturbed or is a continuation of the same use on the </w:t>
      </w:r>
      <w:proofErr w:type="gramStart"/>
      <w:r>
        <w:t>site;</w:t>
      </w:r>
      <w:proofErr w:type="gramEnd"/>
    </w:p>
    <w:p w14:paraId="6C62657D" w14:textId="31890782" w:rsidR="00A642B5" w:rsidRDefault="00961DF0" w:rsidP="00A642B5">
      <w:pPr>
        <w:pStyle w:val="Bullet10"/>
        <w:numPr>
          <w:ilvl w:val="1"/>
          <w:numId w:val="8"/>
        </w:numPr>
        <w:spacing w:after="60"/>
      </w:pPr>
      <w:r w:rsidRPr="00C2485F">
        <w:t xml:space="preserve">Provide topographical, USGS, </w:t>
      </w:r>
      <w:r w:rsidR="00867F77" w:rsidRPr="00C2485F">
        <w:t xml:space="preserve">National Wetlands Inventory, </w:t>
      </w:r>
      <w:proofErr w:type="spellStart"/>
      <w:r w:rsidR="00247F36">
        <w:t>Archsite</w:t>
      </w:r>
      <w:proofErr w:type="spellEnd"/>
      <w:r w:rsidR="00247F36">
        <w:t xml:space="preserve"> or equivalent, </w:t>
      </w:r>
      <w:r w:rsidRPr="00C2485F">
        <w:t>road map</w:t>
      </w:r>
      <w:r>
        <w:t>, or other maps which precisely locate the project in relation to environmental features</w:t>
      </w:r>
      <w:r w:rsidR="00E73095">
        <w:t>; and</w:t>
      </w:r>
    </w:p>
    <w:p w14:paraId="6032F493" w14:textId="38A2AF69" w:rsidR="00A642B5" w:rsidRDefault="00000C01" w:rsidP="00A642B5">
      <w:pPr>
        <w:pStyle w:val="Bullet10"/>
        <w:numPr>
          <w:ilvl w:val="1"/>
          <w:numId w:val="8"/>
        </w:numPr>
        <w:spacing w:after="60"/>
      </w:pPr>
      <w:r w:rsidRPr="00F91231">
        <w:rPr>
          <w:noProof/>
        </w:rPr>
        <w:lastRenderedPageBreak/>
        <mc:AlternateContent>
          <mc:Choice Requires="wps">
            <w:drawing>
              <wp:anchor distT="0" distB="0" distL="114300" distR="114300" simplePos="0" relativeHeight="251667456" behindDoc="1" locked="0" layoutInCell="1" allowOverlap="1" wp14:anchorId="3193BF47" wp14:editId="54302DDA">
                <wp:simplePos x="0" y="0"/>
                <wp:positionH relativeFrom="page">
                  <wp:align>right</wp:align>
                </wp:positionH>
                <wp:positionV relativeFrom="paragraph">
                  <wp:posOffset>332394</wp:posOffset>
                </wp:positionV>
                <wp:extent cx="2011680" cy="1947672"/>
                <wp:effectExtent l="0" t="0" r="102870" b="90805"/>
                <wp:wrapTight wrapText="left">
                  <wp:wrapPolygon edited="0">
                    <wp:start x="0" y="0"/>
                    <wp:lineTo x="0" y="21762"/>
                    <wp:lineTo x="409" y="22396"/>
                    <wp:lineTo x="22500" y="22396"/>
                    <wp:lineTo x="22500" y="845"/>
                    <wp:lineTo x="22091" y="0"/>
                    <wp:lineTo x="0" y="0"/>
                  </wp:wrapPolygon>
                </wp:wrapTight>
                <wp:docPr id="21062791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947672"/>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2021A44A" w14:textId="5AB25CDC" w:rsidR="00836732" w:rsidRDefault="00836732" w:rsidP="00356B2A">
                            <w:pPr>
                              <w:pStyle w:val="Normal1"/>
                              <w:jc w:val="left"/>
                            </w:pPr>
                            <w:r>
                              <w:t>For most agencies</w:t>
                            </w:r>
                            <w:r w:rsidRPr="004604E6">
                              <w:rPr>
                                <w:b/>
                                <w:bCs/>
                              </w:rPr>
                              <w:t>, allow approximately one month for a response.  If no response is received, contact the agency.</w:t>
                            </w:r>
                            <w:r>
                              <w:t xml:space="preserve"> Once a response is received grantees may begin preparing compliance factors.</w:t>
                            </w:r>
                          </w:p>
                          <w:p w14:paraId="45A87C54" w14:textId="77777777" w:rsidR="00836732" w:rsidRDefault="00836732" w:rsidP="00356B2A">
                            <w:pPr>
                              <w:rPr>
                                <w:b/>
                              </w:rPr>
                            </w:pPr>
                          </w:p>
                          <w:p w14:paraId="6BB68D5C" w14:textId="754738A2" w:rsidR="00836732" w:rsidRDefault="00453CC0" w:rsidP="00356B2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BF47" id="Text Box 23" o:spid="_x0000_s1030" type="#_x0000_t202" style="position:absolute;left:0;text-align:left;margin-left:107.2pt;margin-top:26.15pt;width:158.4pt;height:153.35pt;z-index:-251649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" strokeweight="1.5pt">
                <v:shadow on="t" offset="6pt,6pt"/>
                <v:textbox>
                  <w:txbxContent>
                    <w:p w14:paraId="2021A44A" w14:textId="5AB25CDC" w:rsidR="00836732" w:rsidRDefault="00836732" w:rsidP="00356B2A">
                      <w:pPr>
                        <w:pStyle w:val="Normal1"/>
                        <w:jc w:val="left"/>
                      </w:pPr>
                      <w:r>
                        <w:t>For most agencies</w:t>
                      </w:r>
                      <w:r w:rsidRPr="004604E6">
                        <w:rPr>
                          <w:b/>
                          <w:bCs/>
                        </w:rPr>
                        <w:t>, allow approximately one month for a response.  If no response is received, contact the agency.</w:t>
                      </w:r>
                      <w:r>
                        <w:t xml:space="preserve"> Once a response is received grantees may begin preparing compliance factors.</w:t>
                      </w:r>
                    </w:p>
                    <w:p w14:paraId="45A87C54" w14:textId="77777777" w:rsidR="00836732" w:rsidRDefault="00836732" w:rsidP="00356B2A">
                      <w:pPr>
                        <w:rPr>
                          <w:b/>
                        </w:rPr>
                      </w:pPr>
                    </w:p>
                    <w:p w14:paraId="6BB68D5C" w14:textId="754738A2" w:rsidR="00836732" w:rsidRDefault="00453CC0" w:rsidP="00356B2A">
                      <w:r>
                        <w:t>```</w:t>
                      </w:r>
                    </w:p>
                  </w:txbxContent>
                </v:textbox>
                <w10:wrap type="tight" side="left" anchorx="page"/>
              </v:shape>
            </w:pict>
          </mc:Fallback>
        </mc:AlternateContent>
      </w:r>
      <w:r w:rsidR="00543438">
        <w:t>Provide a copy of any source documentation related to their applicable environmental concern</w:t>
      </w:r>
      <w:r w:rsidR="00E73095">
        <w:t>.</w:t>
      </w:r>
    </w:p>
    <w:p w14:paraId="41CDB6E5" w14:textId="4746D333" w:rsidR="00240B19" w:rsidRDefault="00562B86" w:rsidP="000D07E1">
      <w:pPr>
        <w:pStyle w:val="Bullet10"/>
        <w:numPr>
          <w:ilvl w:val="0"/>
          <w:numId w:val="38"/>
        </w:numPr>
      </w:pPr>
      <w:r>
        <w:t xml:space="preserve">Advise the agency of your </w:t>
      </w:r>
      <w:r w:rsidR="00543438">
        <w:t xml:space="preserve">preliminary </w:t>
      </w:r>
      <w:r>
        <w:t xml:space="preserve">findings and </w:t>
      </w:r>
      <w:r w:rsidR="00543438">
        <w:t>request</w:t>
      </w:r>
      <w:r w:rsidR="00240B19" w:rsidRPr="00CD11AC">
        <w:t xml:space="preserve"> the agency to provide a written determination of any potential project impact</w:t>
      </w:r>
      <w:r w:rsidR="00272DD3">
        <w:t xml:space="preserve">s. </w:t>
      </w:r>
      <w:r w:rsidR="00772AC8">
        <w:t xml:space="preserve">Grantees must reach </w:t>
      </w:r>
      <w:r w:rsidR="00240B19">
        <w:t>a level of clearance</w:t>
      </w:r>
      <w:r w:rsidR="00EE101A">
        <w:t>/</w:t>
      </w:r>
      <w:r w:rsidR="00240B19">
        <w:t>finding indicating that the project is or is not an action likely to have a significant impact on the environment.</w:t>
      </w:r>
    </w:p>
    <w:p w14:paraId="273CC8A5" w14:textId="77777777" w:rsidR="00EE101A" w:rsidRDefault="00EE101A" w:rsidP="000D07E1">
      <w:pPr>
        <w:pStyle w:val="Bullet10"/>
        <w:numPr>
          <w:ilvl w:val="1"/>
          <w:numId w:val="39"/>
        </w:numPr>
        <w:spacing w:after="60"/>
      </w:pPr>
      <w:r w:rsidRPr="004F6594">
        <w:t>Allow approximately four business weeks for a response.  If you have not heard from a particular agency within this time frame, it is advisable to place a phone call to the applicable agency</w:t>
      </w:r>
      <w:r>
        <w:t>; and</w:t>
      </w:r>
    </w:p>
    <w:p w14:paraId="61EA2467" w14:textId="725A327B" w:rsidR="00EE101A" w:rsidRPr="004F6594" w:rsidRDefault="00EE101A" w:rsidP="000D07E1">
      <w:pPr>
        <w:pStyle w:val="Bullet10"/>
        <w:numPr>
          <w:ilvl w:val="1"/>
          <w:numId w:val="39"/>
        </w:numPr>
      </w:pPr>
      <w:r>
        <w:t xml:space="preserve">As agency responses are received, review them carefully and complete the Compliance Factors section of the </w:t>
      </w:r>
      <w:r w:rsidR="003743A5">
        <w:rPr>
          <w:i/>
          <w:iCs/>
        </w:rPr>
        <w:t>Environmental Assessment</w:t>
      </w:r>
      <w:hyperlink r:id="rId57" w:history="1"/>
      <w:r>
        <w:t xml:space="preserve">. Many </w:t>
      </w:r>
      <w:proofErr w:type="gramStart"/>
      <w:r>
        <w:t>times</w:t>
      </w:r>
      <w:proofErr w:type="gramEnd"/>
      <w:r>
        <w:t xml:space="preserve"> an agency will request additional information or require the recipient to take additional actions.  Respond to these requests at the earliest possible time.</w:t>
      </w:r>
    </w:p>
    <w:p w14:paraId="4EE4D00B" w14:textId="0879FC05" w:rsidR="00240B19" w:rsidRDefault="00F72018" w:rsidP="000D07E1">
      <w:pPr>
        <w:pStyle w:val="Bullet2"/>
        <w:numPr>
          <w:ilvl w:val="0"/>
          <w:numId w:val="29"/>
        </w:numPr>
      </w:pPr>
      <w:r>
        <w:t xml:space="preserve">The </w:t>
      </w:r>
      <w:r w:rsidR="00240B19">
        <w:t>Certifying Officer</w:t>
      </w:r>
      <w:r w:rsidR="00F91231">
        <w:t xml:space="preserve"> s</w:t>
      </w:r>
      <w:r w:rsidR="00240B19">
        <w:t>hould execute the decla</w:t>
      </w:r>
      <w:r w:rsidR="006A1360">
        <w:t>r</w:t>
      </w:r>
      <w:r w:rsidR="00240B19">
        <w:t xml:space="preserve">atory statement at the end of the </w:t>
      </w:r>
      <w:r w:rsidR="00BB72CA" w:rsidRPr="00465FB1">
        <w:rPr>
          <w:i/>
        </w:rPr>
        <w:t>Environmental Assessment</w:t>
      </w:r>
      <w:r w:rsidR="00465FB1">
        <w:t xml:space="preserve">. </w:t>
      </w:r>
      <w:r w:rsidR="002975D6">
        <w:t xml:space="preserve">The </w:t>
      </w:r>
      <w:r w:rsidR="00272DD3">
        <w:t>Statement</w:t>
      </w:r>
      <w:r w:rsidR="00240B19">
        <w:t xml:space="preserve"> must be signed prior to</w:t>
      </w:r>
      <w:r w:rsidR="00CD11AC">
        <w:t xml:space="preserve"> the i</w:t>
      </w:r>
      <w:r w:rsidR="00240B19">
        <w:t>ssu</w:t>
      </w:r>
      <w:r w:rsidR="002975D6">
        <w:t>ance of</w:t>
      </w:r>
      <w:r w:rsidR="00240B19">
        <w:t xml:space="preserve"> the </w:t>
      </w:r>
      <w:hyperlink r:id="rId58" w:history="1">
        <w:r w:rsidR="00210484" w:rsidRPr="00750CDA">
          <w:rPr>
            <w:rStyle w:val="Hyperlink"/>
            <w:i/>
            <w:iCs/>
          </w:rPr>
          <w:t>Combined Notice of FONSI and Notice of Intent to Request Release of Funds (NOI/RROF)</w:t>
        </w:r>
      </w:hyperlink>
      <w:r w:rsidR="00210484">
        <w:t xml:space="preserve"> </w:t>
      </w:r>
      <w:r w:rsidR="00C97B01" w:rsidRPr="00C97B01">
        <w:t>that is</w:t>
      </w:r>
      <w:r w:rsidR="00C97B01" w:rsidRPr="00465FB1">
        <w:rPr>
          <w:i/>
        </w:rPr>
        <w:t xml:space="preserve"> </w:t>
      </w:r>
      <w:r w:rsidR="00240B19">
        <w:t>published in the newspaper or posted.</w:t>
      </w:r>
    </w:p>
    <w:p w14:paraId="27933E9F" w14:textId="47A64502" w:rsidR="00240B19" w:rsidRPr="00465FB1" w:rsidRDefault="00772AC8" w:rsidP="00465FB1">
      <w:pPr>
        <w:pStyle w:val="Bullet10"/>
        <w:rPr>
          <w:u w:val="single"/>
        </w:rPr>
      </w:pPr>
      <w:r>
        <w:t>Grantees must p</w:t>
      </w:r>
      <w:r w:rsidR="00F91231">
        <w:t xml:space="preserve">repare the </w:t>
      </w:r>
      <w:hyperlink r:id="rId59" w:history="1">
        <w:r w:rsidR="00F91231" w:rsidRPr="00750CDA">
          <w:rPr>
            <w:rStyle w:val="Hyperlink"/>
            <w:i/>
            <w:iCs/>
          </w:rPr>
          <w:t>Combined Notice of FONSI and Notice of Intent to Request Release of Funds (NOI/RROF)</w:t>
        </w:r>
      </w:hyperlink>
      <w:r w:rsidR="00F91231">
        <w:t xml:space="preserve"> for publication in a newspaper of general circulation serving the jurisdiction or post</w:t>
      </w:r>
      <w:r w:rsidR="00272DD3">
        <w:t>ing</w:t>
      </w:r>
      <w:r w:rsidR="00F91231">
        <w:t xml:space="preserve"> in a prominent location.</w:t>
      </w:r>
      <w:r w:rsidR="002E1BE7">
        <w:t xml:space="preserve">  Copies </w:t>
      </w:r>
      <w:r w:rsidR="0055170F">
        <w:t>must</w:t>
      </w:r>
      <w:r w:rsidR="002E1BE7">
        <w:t xml:space="preserve"> also be sent to interested individuals and groups, local news media, appropriate state and Federal agencies, and the Environmental Protection Agency</w:t>
      </w:r>
      <w:r w:rsidR="0055170F">
        <w:t xml:space="preserve"> (EPA) Regional Office (EPA address is included on the </w:t>
      </w:r>
      <w:r w:rsidR="0055170F" w:rsidRPr="2FBB6E41">
        <w:rPr>
          <w:i/>
          <w:iCs/>
        </w:rPr>
        <w:t>Agency Contact List)</w:t>
      </w:r>
      <w:r w:rsidR="002E1BE7">
        <w:t>.</w:t>
      </w:r>
      <w:r w:rsidR="00465FB1">
        <w:t xml:space="preserve"> </w:t>
      </w:r>
      <w:r w:rsidR="00240B19" w:rsidRPr="00465FB1">
        <w:rPr>
          <w:u w:val="single"/>
        </w:rPr>
        <w:t>Remember to correctly state the significant dates that will occur</w:t>
      </w:r>
      <w:r w:rsidR="00465FB1">
        <w:rPr>
          <w:u w:val="single"/>
        </w:rPr>
        <w:t xml:space="preserve"> to avoid having to </w:t>
      </w:r>
      <w:r w:rsidR="00662A7B">
        <w:rPr>
          <w:u w:val="single"/>
        </w:rPr>
        <w:t>potentially re-publish the Notice</w:t>
      </w:r>
      <w:r w:rsidR="00240B19" w:rsidRPr="00465FB1">
        <w:rPr>
          <w:u w:val="single"/>
        </w:rPr>
        <w:t xml:space="preserve">.  </w:t>
      </w:r>
    </w:p>
    <w:p w14:paraId="56D615C7" w14:textId="1D9572AA" w:rsidR="00240B19" w:rsidRDefault="00240B19" w:rsidP="000D07E1">
      <w:pPr>
        <w:pStyle w:val="Bullet2"/>
        <w:numPr>
          <w:ilvl w:val="0"/>
          <w:numId w:val="30"/>
        </w:numPr>
      </w:pPr>
      <w:r w:rsidRPr="00F91231">
        <w:t xml:space="preserve">The </w:t>
      </w:r>
      <w:r w:rsidRPr="00CD11AC">
        <w:rPr>
          <w:i/>
        </w:rPr>
        <w:t>FONSI/NOI-RROF</w:t>
      </w:r>
      <w:r w:rsidR="005E6D1A">
        <w:t xml:space="preserve"> </w:t>
      </w:r>
      <w:r w:rsidRPr="00F91231">
        <w:t xml:space="preserve">Combined Notice has a </w:t>
      </w:r>
      <w:r w:rsidR="00962FEA">
        <w:t>15</w:t>
      </w:r>
      <w:r w:rsidR="00EC1CF2">
        <w:t>-</w:t>
      </w:r>
      <w:r w:rsidR="00962FEA">
        <w:t>d</w:t>
      </w:r>
      <w:r w:rsidRPr="00F91231">
        <w:t xml:space="preserve">ay comment period if </w:t>
      </w:r>
      <w:r>
        <w:t xml:space="preserve">published, 18 days if posted.  </w:t>
      </w:r>
    </w:p>
    <w:p w14:paraId="6E0E6016" w14:textId="3709690E" w:rsidR="00240B19" w:rsidRDefault="00240B19" w:rsidP="000D07E1">
      <w:pPr>
        <w:pStyle w:val="Bullet3"/>
        <w:numPr>
          <w:ilvl w:val="0"/>
          <w:numId w:val="36"/>
        </w:numPr>
      </w:pPr>
      <w:r>
        <w:t xml:space="preserve">The date of publication and posting is NEVER counted when computing time periods. </w:t>
      </w:r>
    </w:p>
    <w:p w14:paraId="3889224E" w14:textId="56A7D9FA" w:rsidR="00240B19" w:rsidRDefault="00240B19" w:rsidP="000D07E1">
      <w:pPr>
        <w:pStyle w:val="Bullet3"/>
        <w:numPr>
          <w:ilvl w:val="0"/>
          <w:numId w:val="36"/>
        </w:numPr>
      </w:pPr>
      <w:r>
        <w:t xml:space="preserve">Contact </w:t>
      </w:r>
      <w:r w:rsidR="00E327B5">
        <w:t>the State</w:t>
      </w:r>
      <w:r>
        <w:t>'s Environmental Specialist for assistance in computing time periods</w:t>
      </w:r>
      <w:r w:rsidR="00C97B01">
        <w:t>, or utilize the Publication Guide that is located in the attachments to this chapter</w:t>
      </w:r>
      <w:r>
        <w:t>.</w:t>
      </w:r>
    </w:p>
    <w:p w14:paraId="7FF5DCFA" w14:textId="44317AB9" w:rsidR="00240B19" w:rsidRPr="00CD11AC" w:rsidRDefault="00240B19" w:rsidP="000D07E1">
      <w:pPr>
        <w:pStyle w:val="Bullet10"/>
        <w:numPr>
          <w:ilvl w:val="0"/>
          <w:numId w:val="30"/>
        </w:numPr>
      </w:pPr>
      <w:r>
        <w:t xml:space="preserve">Once the comment period has expired, the </w:t>
      </w:r>
      <w:r w:rsidR="00772AC8">
        <w:t xml:space="preserve">grantee </w:t>
      </w:r>
      <w:r>
        <w:t>m</w:t>
      </w:r>
      <w:r w:rsidR="00662A7B">
        <w:t>ust</w:t>
      </w:r>
      <w:r>
        <w:t xml:space="preserve"> submit a </w:t>
      </w:r>
      <w:r w:rsidRPr="2FBB6E41">
        <w:rPr>
          <w:i/>
          <w:iCs/>
        </w:rPr>
        <w:t>Request for Release of Funds and Certification</w:t>
      </w:r>
      <w:r>
        <w:t xml:space="preserve">, a copy of the Notices, and </w:t>
      </w:r>
      <w:r w:rsidR="0035192F">
        <w:t xml:space="preserve">a </w:t>
      </w:r>
      <w:r w:rsidR="00662A7B">
        <w:t xml:space="preserve">hard </w:t>
      </w:r>
      <w:r w:rsidR="0035192F">
        <w:t xml:space="preserve">copy of </w:t>
      </w:r>
      <w:r>
        <w:lastRenderedPageBreak/>
        <w:t xml:space="preserve">the </w:t>
      </w:r>
      <w:r w:rsidR="00C97B01">
        <w:t xml:space="preserve">complete </w:t>
      </w:r>
      <w:r w:rsidR="00C97B01" w:rsidRPr="2FBB6E41">
        <w:rPr>
          <w:i/>
          <w:iCs/>
        </w:rPr>
        <w:t>Environmental Assessment</w:t>
      </w:r>
      <w:r w:rsidR="00C97B01">
        <w:t xml:space="preserve"> </w:t>
      </w:r>
      <w:r>
        <w:t xml:space="preserve">to </w:t>
      </w:r>
      <w:r w:rsidR="00E327B5">
        <w:t xml:space="preserve">the State </w:t>
      </w:r>
      <w:r w:rsidR="00043F8F">
        <w:t>as well as email a full copy to sc-cdbg@sccommerce.com</w:t>
      </w:r>
      <w:r>
        <w:t xml:space="preserve">.  </w:t>
      </w:r>
      <w:r w:rsidR="00E327B5">
        <w:t xml:space="preserve">The State </w:t>
      </w:r>
      <w:r>
        <w:t>then has fifteen</w:t>
      </w:r>
      <w:r w:rsidR="00C76760">
        <w:t xml:space="preserve"> </w:t>
      </w:r>
      <w:r>
        <w:t>days from the time of receipt of the Request or from the time specified in the Notice, whichever is later</w:t>
      </w:r>
      <w:r w:rsidR="00C97B01">
        <w:t>,</w:t>
      </w:r>
      <w:r>
        <w:t xml:space="preserve"> to receive objections </w:t>
      </w:r>
      <w:r w:rsidR="00C76760">
        <w:t>to</w:t>
      </w:r>
      <w:r>
        <w:t xml:space="preserve"> release of funds. </w:t>
      </w:r>
    </w:p>
    <w:p w14:paraId="4026F38F" w14:textId="1823DC8A" w:rsidR="00D46BCE" w:rsidRDefault="00D46BCE" w:rsidP="000D07E1">
      <w:pPr>
        <w:pStyle w:val="Bullet10"/>
        <w:numPr>
          <w:ilvl w:val="0"/>
          <w:numId w:val="30"/>
        </w:numPr>
      </w:pPr>
      <w:r w:rsidRPr="00646897">
        <w:t>Place the originals of all documents, any comments received, as well as proof of publication/posting documentation, in a file labeled ERR.</w:t>
      </w:r>
      <w:r w:rsidR="00F11014">
        <w:t xml:space="preserve"> </w:t>
      </w:r>
    </w:p>
    <w:p w14:paraId="2B842893" w14:textId="75C8F438" w:rsidR="00F11014" w:rsidRPr="00646897" w:rsidRDefault="00F11014" w:rsidP="00362BAE">
      <w:pPr>
        <w:pStyle w:val="Bullet10"/>
        <w:numPr>
          <w:ilvl w:val="0"/>
          <w:numId w:val="0"/>
        </w:numPr>
      </w:pPr>
      <w:r>
        <w:t xml:space="preserve">Per NEPA requirements, </w:t>
      </w:r>
      <w:r w:rsidRPr="00362BAE">
        <w:rPr>
          <w:i/>
          <w:iCs/>
        </w:rPr>
        <w:t>Environmental Assessments</w:t>
      </w:r>
      <w:r>
        <w:t xml:space="preserve"> should be completed in a one-year timeframe starting when the environmental review is first initiated (agency letters submitted) and ending with </w:t>
      </w:r>
      <w:r w:rsidR="00641A02">
        <w:t xml:space="preserve">when </w:t>
      </w:r>
      <w:r>
        <w:t>the FONSI is signed by the Certifying Officer.</w:t>
      </w:r>
    </w:p>
    <w:p w14:paraId="33C0B178" w14:textId="77777777" w:rsidR="00362BAE" w:rsidRDefault="00362BAE" w:rsidP="00804AE5">
      <w:pPr>
        <w:pStyle w:val="Normal1"/>
        <w:spacing w:before="0"/>
      </w:pPr>
    </w:p>
    <w:p w14:paraId="00B80621" w14:textId="35FC8680" w:rsidR="00804AE5" w:rsidRDefault="00804AE5" w:rsidP="00804AE5">
      <w:pPr>
        <w:pStyle w:val="Normal1"/>
        <w:spacing w:before="0"/>
      </w:pPr>
      <w:r>
        <w:t xml:space="preserve">In addition to following the </w:t>
      </w:r>
      <w:r w:rsidR="006C063E">
        <w:t>f</w:t>
      </w:r>
      <w:r>
        <w:t xml:space="preserve">ederal environmental compliance requirements in Part 58, all projects requiring an </w:t>
      </w:r>
      <w:r>
        <w:rPr>
          <w:i/>
        </w:rPr>
        <w:t xml:space="preserve">Environmental </w:t>
      </w:r>
      <w:r w:rsidRPr="00A43822">
        <w:rPr>
          <w:i/>
        </w:rPr>
        <w:t xml:space="preserve">Assessment </w:t>
      </w:r>
      <w:r w:rsidRPr="00A43822">
        <w:t>must</w:t>
      </w:r>
      <w:r>
        <w:t xml:space="preserve"> comply with State law for preventing non-point source pollution.  </w:t>
      </w:r>
      <w:r w:rsidR="00B13DF1">
        <w:t>All</w:t>
      </w:r>
      <w:r>
        <w:t xml:space="preserve"> land disturbing activities impacting five or more acres, except </w:t>
      </w:r>
      <w:r w:rsidR="00B13DF1">
        <w:t>for exempted activities</w:t>
      </w:r>
      <w:r>
        <w:t>, are regulated by the Stormwater Management and Sediment Reduction Act</w:t>
      </w:r>
      <w:r w:rsidR="000E3C3F">
        <w:t xml:space="preserve">. </w:t>
      </w:r>
      <w:r w:rsidR="000E3C3F" w:rsidRPr="004604E6">
        <w:rPr>
          <w:i/>
          <w:iCs/>
        </w:rPr>
        <w:t>See</w:t>
      </w:r>
      <w:r w:rsidR="000E3C3F">
        <w:t xml:space="preserve"> </w:t>
      </w:r>
      <w:r w:rsidR="00EE0957">
        <w:t xml:space="preserve"> </w:t>
      </w:r>
      <w:hyperlink r:id="rId60" w:history="1">
        <w:r w:rsidR="001E66DA" w:rsidRPr="0081000F">
          <w:rPr>
            <w:rStyle w:val="Hyperlink"/>
          </w:rPr>
          <w:t xml:space="preserve">S.C. Code Ann. </w:t>
        </w:r>
        <w:r w:rsidR="000E3C3F" w:rsidRPr="0081000F">
          <w:rPr>
            <w:rStyle w:val="Hyperlink"/>
            <w:rFonts w:cs="Tahoma"/>
          </w:rPr>
          <w:t>§</w:t>
        </w:r>
        <w:r w:rsidR="001E66DA" w:rsidRPr="0081000F">
          <w:rPr>
            <w:rStyle w:val="Hyperlink"/>
          </w:rPr>
          <w:t>48-14-10 et. seq</w:t>
        </w:r>
      </w:hyperlink>
      <w:r w:rsidR="001E66DA">
        <w:t xml:space="preserve">. </w:t>
      </w:r>
      <w:r>
        <w:t xml:space="preserve"> For more information on compliance with the Stormwater Management and Sediment Reduction Act, please see </w:t>
      </w:r>
      <w:hyperlink w:anchor="_Appendix_C" w:history="1">
        <w:r w:rsidRPr="0081000F">
          <w:rPr>
            <w:rStyle w:val="Hyperlink"/>
          </w:rPr>
          <w:t>Appendix C</w:t>
        </w:r>
      </w:hyperlink>
      <w:r>
        <w:t xml:space="preserve">. </w:t>
      </w:r>
    </w:p>
    <w:p w14:paraId="3BB2E355" w14:textId="2F545742" w:rsidR="00804AE5" w:rsidRPr="00CD11AC" w:rsidRDefault="00804AE5" w:rsidP="004604E6">
      <w:pPr>
        <w:pStyle w:val="Bullet10"/>
        <w:numPr>
          <w:ilvl w:val="0"/>
          <w:numId w:val="0"/>
        </w:numPr>
        <w:ind w:left="720" w:hanging="360"/>
      </w:pPr>
    </w:p>
    <w:p w14:paraId="1B8537DB" w14:textId="17B613D4" w:rsidR="00240B19" w:rsidRDefault="00240B19" w:rsidP="00240B19">
      <w:pPr>
        <w:pStyle w:val="Heading3"/>
      </w:pPr>
      <w:r>
        <w:t>Environmental Impact Statement</w:t>
      </w:r>
      <w:r w:rsidR="00296563">
        <w:t xml:space="preserve"> (EIS)</w:t>
      </w:r>
    </w:p>
    <w:p w14:paraId="48995884" w14:textId="0F5E0D43" w:rsidR="00CD70A3" w:rsidRDefault="00240B19" w:rsidP="00804AE5">
      <w:pPr>
        <w:pStyle w:val="Normal1"/>
      </w:pPr>
      <w:r>
        <w:t xml:space="preserve">An </w:t>
      </w:r>
      <w:hyperlink w:anchor="EIS_Def" w:history="1">
        <w:r w:rsidRPr="007A24F2">
          <w:rPr>
            <w:rStyle w:val="Hyperlink"/>
          </w:rPr>
          <w:t>E</w:t>
        </w:r>
        <w:r w:rsidR="00296563" w:rsidRPr="007A24F2">
          <w:rPr>
            <w:rStyle w:val="Hyperlink"/>
          </w:rPr>
          <w:t>IS</w:t>
        </w:r>
      </w:hyperlink>
      <w:r>
        <w:t xml:space="preserve"> details the </w:t>
      </w:r>
      <w:r w:rsidR="000E0E44">
        <w:t>R</w:t>
      </w:r>
      <w:r>
        <w:t>ecipient’s final analyses and conclusions</w:t>
      </w:r>
      <w:r w:rsidR="00A45082">
        <w:t xml:space="preserve"> </w:t>
      </w:r>
      <w:r>
        <w:t xml:space="preserve">related to potential significant environmental impact of the project.  Recipients must follow prescribed steps </w:t>
      </w:r>
      <w:r w:rsidR="00BE1BA7">
        <w:t>during</w:t>
      </w:r>
      <w:r>
        <w:t xml:space="preserve"> preparation, filing</w:t>
      </w:r>
      <w:r w:rsidR="00A45082">
        <w:t>,</w:t>
      </w:r>
      <w:r>
        <w:t xml:space="preserve"> and review of an </w:t>
      </w:r>
      <w:r w:rsidR="00A45082">
        <w:t xml:space="preserve">EIS. </w:t>
      </w:r>
      <w:r w:rsidRPr="004604E6">
        <w:rPr>
          <w:i/>
          <w:iCs/>
        </w:rPr>
        <w:t>See</w:t>
      </w:r>
      <w:r>
        <w:t xml:space="preserve"> </w:t>
      </w:r>
      <w:hyperlink r:id="rId61" w:history="1">
        <w:r w:rsidRPr="002C0A64">
          <w:rPr>
            <w:rStyle w:val="Hyperlink"/>
          </w:rPr>
          <w:t>24 CFR 58, Subpart G</w:t>
        </w:r>
      </w:hyperlink>
      <w:r>
        <w:t xml:space="preserve">, and </w:t>
      </w:r>
      <w:hyperlink r:id="rId62" w:history="1">
        <w:r w:rsidRPr="0033346B">
          <w:rPr>
            <w:rStyle w:val="Hyperlink"/>
          </w:rPr>
          <w:t>40 CFR 150</w:t>
        </w:r>
        <w:r w:rsidR="00D35969" w:rsidRPr="0033346B">
          <w:rPr>
            <w:rStyle w:val="Hyperlink"/>
          </w:rPr>
          <w:t>0-1508</w:t>
        </w:r>
      </w:hyperlink>
      <w:r w:rsidR="00D35969">
        <w:t>.</w:t>
      </w:r>
      <w:r w:rsidR="001A4A27">
        <w:t xml:space="preserve"> </w:t>
      </w:r>
    </w:p>
    <w:p w14:paraId="3B3DC2CB" w14:textId="1D296D34" w:rsidR="00240B19" w:rsidRDefault="00240B19" w:rsidP="00CD70A3">
      <w:pPr>
        <w:pStyle w:val="Bullet10"/>
        <w:numPr>
          <w:ilvl w:val="0"/>
          <w:numId w:val="0"/>
        </w:numPr>
      </w:pPr>
      <w:r w:rsidRPr="00CD11AC">
        <w:t xml:space="preserve">An EIS may be required when: </w:t>
      </w:r>
    </w:p>
    <w:p w14:paraId="250131DF" w14:textId="262F8D39" w:rsidR="00CD70A3" w:rsidRPr="00F91231" w:rsidRDefault="00CD70A3" w:rsidP="000D07E1">
      <w:pPr>
        <w:pStyle w:val="Bullet2"/>
        <w:numPr>
          <w:ilvl w:val="0"/>
          <w:numId w:val="19"/>
        </w:numPr>
      </w:pPr>
      <w:r w:rsidRPr="00F91231">
        <w:t>The project is so large that it triggers density thresholds, and common sense suggests it may have a substantial environmental impact</w:t>
      </w:r>
      <w:r w:rsidR="00AE354F">
        <w:t>; and/or</w:t>
      </w:r>
    </w:p>
    <w:p w14:paraId="3A733859" w14:textId="2E514381" w:rsidR="00CD70A3" w:rsidRPr="00CD11AC" w:rsidRDefault="00CD70A3" w:rsidP="000D07E1">
      <w:pPr>
        <w:pStyle w:val="Bullet2"/>
        <w:numPr>
          <w:ilvl w:val="0"/>
          <w:numId w:val="19"/>
        </w:numPr>
      </w:pPr>
      <w:r>
        <w:t xml:space="preserve">A Finding of Significant Impact (FOSI) is found </w:t>
      </w:r>
      <w:proofErr w:type="gramStart"/>
      <w:r>
        <w:t>as a result of</w:t>
      </w:r>
      <w:proofErr w:type="gramEnd"/>
      <w:r>
        <w:t xml:space="preserve"> completing an environmental assessment for the project.</w:t>
      </w:r>
    </w:p>
    <w:p w14:paraId="70F1754A" w14:textId="5698B4B9" w:rsidR="00240B19" w:rsidRDefault="00DA045F" w:rsidP="00D17BA9">
      <w:pPr>
        <w:pStyle w:val="Bullet10"/>
        <w:numPr>
          <w:ilvl w:val="0"/>
          <w:numId w:val="0"/>
        </w:numPr>
      </w:pPr>
      <w:r>
        <w:t>If the project meets one of the conditions above, the grantee must prepare</w:t>
      </w:r>
      <w:r w:rsidR="00240B19" w:rsidRPr="00CD11AC">
        <w:t xml:space="preserve"> an EIS if the project meets any of these requirements below: </w:t>
      </w:r>
    </w:p>
    <w:p w14:paraId="300656C3" w14:textId="06955EBF" w:rsidR="00CD70A3" w:rsidRPr="00F91231" w:rsidRDefault="00CD70A3" w:rsidP="000D07E1">
      <w:pPr>
        <w:pStyle w:val="Bullet2"/>
        <w:numPr>
          <w:ilvl w:val="0"/>
          <w:numId w:val="20"/>
        </w:numPr>
      </w:pPr>
      <w:r w:rsidRPr="00F91231">
        <w:t xml:space="preserve">Any project to provide a site or sites for hospitals and nursing homes with a total of at least 2,500 </w:t>
      </w:r>
      <w:proofErr w:type="gramStart"/>
      <w:r w:rsidRPr="00F91231">
        <w:t>beds</w:t>
      </w:r>
      <w:r w:rsidR="00E73095">
        <w:t>;</w:t>
      </w:r>
      <w:proofErr w:type="gramEnd"/>
    </w:p>
    <w:p w14:paraId="500EAD80" w14:textId="3BFC2398" w:rsidR="00CD70A3" w:rsidRPr="00F91231" w:rsidRDefault="00CD70A3" w:rsidP="000D07E1">
      <w:pPr>
        <w:pStyle w:val="Bullet2"/>
        <w:numPr>
          <w:ilvl w:val="0"/>
          <w:numId w:val="20"/>
        </w:numPr>
      </w:pPr>
      <w:r w:rsidRPr="00F91231">
        <w:t>Any project to remove, destroy,</w:t>
      </w:r>
      <w:r>
        <w:t xml:space="preserve"> </w:t>
      </w:r>
      <w:r w:rsidRPr="00F91231">
        <w:t xml:space="preserve">convert, or substantially rehabilitate at least 2,500 existing housing </w:t>
      </w:r>
      <w:proofErr w:type="gramStart"/>
      <w:r w:rsidRPr="00F91231">
        <w:t>units</w:t>
      </w:r>
      <w:r w:rsidR="00E73095">
        <w:t>;</w:t>
      </w:r>
      <w:proofErr w:type="gramEnd"/>
    </w:p>
    <w:p w14:paraId="31E1FDFA" w14:textId="2D1CA06B" w:rsidR="00CD70A3" w:rsidRPr="00F91231" w:rsidRDefault="00CD70A3" w:rsidP="000D07E1">
      <w:pPr>
        <w:pStyle w:val="Bullet2"/>
        <w:numPr>
          <w:ilvl w:val="0"/>
          <w:numId w:val="20"/>
        </w:numPr>
      </w:pPr>
      <w:r w:rsidRPr="00F91231">
        <w:lastRenderedPageBreak/>
        <w:t xml:space="preserve">Any project to construct, install or provide sites for at least 2,500 housing </w:t>
      </w:r>
      <w:proofErr w:type="gramStart"/>
      <w:r w:rsidRPr="00F91231">
        <w:t>units</w:t>
      </w:r>
      <w:r w:rsidR="00E73095">
        <w:t>;</w:t>
      </w:r>
      <w:proofErr w:type="gramEnd"/>
    </w:p>
    <w:p w14:paraId="7F89E92A" w14:textId="48E6D475" w:rsidR="00CD70A3" w:rsidRPr="00F91231" w:rsidRDefault="00CD70A3" w:rsidP="000D07E1">
      <w:pPr>
        <w:pStyle w:val="Bullet2"/>
        <w:numPr>
          <w:ilvl w:val="0"/>
          <w:numId w:val="20"/>
        </w:numPr>
      </w:pPr>
      <w:r w:rsidRPr="00F91231">
        <w:t>Any project to provide water and sewer capacity for at least 2,500 housing units</w:t>
      </w:r>
      <w:r w:rsidR="00E73095">
        <w:t>; and/or</w:t>
      </w:r>
    </w:p>
    <w:p w14:paraId="2934C228" w14:textId="77777777" w:rsidR="00CD70A3" w:rsidRPr="00F91231" w:rsidRDefault="00CD70A3" w:rsidP="000D07E1">
      <w:pPr>
        <w:pStyle w:val="Bullet2"/>
        <w:numPr>
          <w:ilvl w:val="0"/>
          <w:numId w:val="20"/>
        </w:numPr>
      </w:pPr>
      <w:r w:rsidRPr="00F91231">
        <w:t>Any project that exceeds the 2,500-unit threshold for nonresidential housing construction.</w:t>
      </w:r>
    </w:p>
    <w:p w14:paraId="733C322C" w14:textId="690F1DFC" w:rsidR="006A32AE" w:rsidRPr="006A32AE" w:rsidRDefault="00240B19" w:rsidP="004604E6">
      <w:pPr>
        <w:pStyle w:val="Normal1"/>
      </w:pPr>
      <w:r w:rsidRPr="004604E6">
        <w:rPr>
          <w:rFonts w:cs="Tahoma"/>
          <w:b/>
          <w:bCs/>
        </w:rPr>
        <w:t>If the sole reason for preparing an EIS is that a project will exceed one or more of the thresholds listed above, the recipient may prepare an environmental as</w:t>
      </w:r>
      <w:r w:rsidR="00CD11AC" w:rsidRPr="004604E6">
        <w:rPr>
          <w:rFonts w:cs="Tahoma"/>
          <w:b/>
          <w:bCs/>
        </w:rPr>
        <w:t>sessment</w:t>
      </w:r>
      <w:r w:rsidR="001A2387" w:rsidRPr="004604E6">
        <w:rPr>
          <w:rFonts w:cs="Tahoma"/>
          <w:b/>
          <w:bCs/>
        </w:rPr>
        <w:t>.</w:t>
      </w:r>
      <w:r w:rsidR="00CD11AC" w:rsidRPr="00044F40">
        <w:rPr>
          <w:rFonts w:cs="Tahoma"/>
        </w:rPr>
        <w:t xml:space="preserve">  In such cases, </w:t>
      </w:r>
      <w:r w:rsidRPr="00044F40">
        <w:rPr>
          <w:rFonts w:cs="Tahoma"/>
        </w:rPr>
        <w:t xml:space="preserve">if a </w:t>
      </w:r>
      <w:r w:rsidRPr="004604E6">
        <w:rPr>
          <w:rFonts w:cs="Tahoma"/>
        </w:rPr>
        <w:t>Finding of No Significant Impact</w:t>
      </w:r>
      <w:r w:rsidRPr="00044F40">
        <w:rPr>
          <w:rFonts w:cs="Tahoma"/>
        </w:rPr>
        <w:t xml:space="preserve"> </w:t>
      </w:r>
      <w:r w:rsidR="00464068" w:rsidRPr="00044F40">
        <w:rPr>
          <w:rFonts w:cs="Tahoma"/>
        </w:rPr>
        <w:t>is made</w:t>
      </w:r>
      <w:r w:rsidRPr="00044F40">
        <w:rPr>
          <w:rFonts w:cs="Tahoma"/>
        </w:rPr>
        <w:t xml:space="preserve">, </w:t>
      </w:r>
      <w:r w:rsidR="00464068" w:rsidRPr="00044F40">
        <w:rPr>
          <w:rFonts w:cs="Tahoma"/>
        </w:rPr>
        <w:t>it</w:t>
      </w:r>
      <w:r w:rsidR="00384AFC" w:rsidRPr="004604E6">
        <w:rPr>
          <w:rFonts w:cs="Tahoma"/>
        </w:rPr>
        <w:t xml:space="preserve"> </w:t>
      </w:r>
      <w:r w:rsidR="00384AFC" w:rsidRPr="00044F40">
        <w:rPr>
          <w:rFonts w:cs="Tahoma"/>
        </w:rPr>
        <w:t>must</w:t>
      </w:r>
      <w:r w:rsidRPr="00044F40">
        <w:rPr>
          <w:rFonts w:cs="Tahoma"/>
        </w:rPr>
        <w:t xml:space="preserve"> be made available for public review for at least 30 days before the </w:t>
      </w:r>
      <w:r w:rsidR="006A32AE" w:rsidRPr="00044F40">
        <w:rPr>
          <w:rFonts w:cs="Tahoma"/>
        </w:rPr>
        <w:t>R</w:t>
      </w:r>
      <w:r w:rsidRPr="00044F40">
        <w:rPr>
          <w:rFonts w:cs="Tahoma"/>
        </w:rPr>
        <w:t xml:space="preserve">ecipient </w:t>
      </w:r>
      <w:r w:rsidR="006A32AE" w:rsidRPr="00044F40">
        <w:rPr>
          <w:rFonts w:cs="Tahoma"/>
        </w:rPr>
        <w:t xml:space="preserve">can </w:t>
      </w:r>
      <w:r w:rsidRPr="00044F40">
        <w:rPr>
          <w:rFonts w:cs="Tahoma"/>
        </w:rPr>
        <w:t>make a final determination about whether to prepare an EIS.</w:t>
      </w:r>
    </w:p>
    <w:p w14:paraId="21997B6A" w14:textId="55999086" w:rsidR="00240B19" w:rsidRDefault="00240B19" w:rsidP="00240B19">
      <w:pPr>
        <w:pStyle w:val="Heading2"/>
      </w:pPr>
      <w:bookmarkStart w:id="16" w:name="_Section_5_–"/>
      <w:bookmarkEnd w:id="16"/>
      <w:r>
        <w:t xml:space="preserve">Section </w:t>
      </w:r>
      <w:r w:rsidR="00F91231">
        <w:t>5</w:t>
      </w:r>
      <w:r>
        <w:t xml:space="preserve"> – Publication and Posting of Public Notices</w:t>
      </w:r>
    </w:p>
    <w:p w14:paraId="3ED4DF1B" w14:textId="77777777" w:rsidR="00C64493" w:rsidRDefault="00240B19" w:rsidP="00240B19">
      <w:pPr>
        <w:pStyle w:val="Normal1"/>
      </w:pPr>
      <w:r>
        <w:t xml:space="preserve">Recipients have the option of either </w:t>
      </w:r>
      <w:r w:rsidR="00C64493">
        <w:t xml:space="preserve">publishing or posting notices, depending on the type of notice: </w:t>
      </w:r>
    </w:p>
    <w:p w14:paraId="632EED4F" w14:textId="29DC88EF" w:rsidR="0063150C" w:rsidRDefault="00240B19" w:rsidP="000D07E1">
      <w:pPr>
        <w:pStyle w:val="Normal1"/>
        <w:numPr>
          <w:ilvl w:val="0"/>
          <w:numId w:val="40"/>
        </w:numPr>
      </w:pPr>
      <w:r>
        <w:rPr>
          <w:i/>
        </w:rPr>
        <w:t>FONSI</w:t>
      </w:r>
      <w:r w:rsidR="00E56458">
        <w:t xml:space="preserve">, </w:t>
      </w:r>
      <w:r>
        <w:rPr>
          <w:i/>
        </w:rPr>
        <w:t>NOI/RROF</w:t>
      </w:r>
      <w:r w:rsidR="00E56458">
        <w:rPr>
          <w:i/>
        </w:rPr>
        <w:t>, Combined Notice</w:t>
      </w:r>
      <w:r>
        <w:t xml:space="preserve"> </w:t>
      </w:r>
      <w:r w:rsidR="00C64493">
        <w:t xml:space="preserve">– May be </w:t>
      </w:r>
      <w:r w:rsidR="00C64493" w:rsidRPr="00C64493">
        <w:rPr>
          <w:b/>
          <w:bCs/>
        </w:rPr>
        <w:t>published</w:t>
      </w:r>
      <w:r w:rsidR="00C64493">
        <w:t xml:space="preserve"> </w:t>
      </w:r>
      <w:r>
        <w:t>in a newspaper of general circulation serving the affected geographical area</w:t>
      </w:r>
      <w:r w:rsidR="00F11014">
        <w:t xml:space="preserve"> </w:t>
      </w:r>
      <w:r w:rsidR="00F11014" w:rsidRPr="00F11014">
        <w:t xml:space="preserve">or on an appropriate </w:t>
      </w:r>
      <w:r w:rsidR="006B783E">
        <w:t>g</w:t>
      </w:r>
      <w:r w:rsidR="00F11014" w:rsidRPr="00F11014">
        <w:t xml:space="preserve">overnment website that is accessible to individuals with disabilities and provides meaningful access for individuals with Limited English </w:t>
      </w:r>
      <w:proofErr w:type="gramStart"/>
      <w:r w:rsidR="00F11014" w:rsidRPr="00F11014">
        <w:t>Proficiency</w:t>
      </w:r>
      <w:r w:rsidR="007035F1">
        <w:t>,</w:t>
      </w:r>
      <w:r>
        <w:t xml:space="preserve"> </w:t>
      </w:r>
      <w:r w:rsidRPr="00416EB3">
        <w:rPr>
          <w:u w:val="single"/>
        </w:rPr>
        <w:t>or</w:t>
      </w:r>
      <w:proofErr w:type="gramEnd"/>
      <w:r>
        <w:t xml:space="preserve"> </w:t>
      </w:r>
      <w:r w:rsidRPr="004604E6">
        <w:rPr>
          <w:b/>
          <w:bCs/>
        </w:rPr>
        <w:t>post</w:t>
      </w:r>
      <w:r w:rsidR="00C64493">
        <w:rPr>
          <w:b/>
          <w:bCs/>
        </w:rPr>
        <w:t>ed</w:t>
      </w:r>
      <w:r>
        <w:t xml:space="preserve"> in prominent public places within the recipient’s geographical boundaries. </w:t>
      </w:r>
    </w:p>
    <w:p w14:paraId="7B22C802" w14:textId="77777777" w:rsidR="008B6295" w:rsidRPr="00305967" w:rsidRDefault="008B6295" w:rsidP="000D07E1">
      <w:pPr>
        <w:pStyle w:val="Bullet10"/>
        <w:numPr>
          <w:ilvl w:val="0"/>
          <w:numId w:val="41"/>
        </w:numPr>
      </w:pPr>
      <w:r>
        <w:t xml:space="preserve">Suitable public locations for posting may include but are not limited </w:t>
      </w:r>
      <w:proofErr w:type="gramStart"/>
      <w:r>
        <w:t>to;</w:t>
      </w:r>
      <w:proofErr w:type="gramEnd"/>
      <w:r>
        <w:t xml:space="preserve"> </w:t>
      </w:r>
    </w:p>
    <w:p w14:paraId="005FFE60" w14:textId="77777777" w:rsidR="008B6295" w:rsidRPr="00F91231" w:rsidRDefault="008B6295" w:rsidP="000D07E1">
      <w:pPr>
        <w:pStyle w:val="Bullet2"/>
        <w:numPr>
          <w:ilvl w:val="1"/>
          <w:numId w:val="41"/>
        </w:numPr>
      </w:pPr>
      <w:r w:rsidRPr="00F91231">
        <w:t xml:space="preserve">Municipal and county buildings accessible to the general </w:t>
      </w:r>
      <w:proofErr w:type="gramStart"/>
      <w:r w:rsidRPr="00F91231">
        <w:t>public;</w:t>
      </w:r>
      <w:proofErr w:type="gramEnd"/>
    </w:p>
    <w:p w14:paraId="7DAE4FE9" w14:textId="77777777" w:rsidR="008B6295" w:rsidRPr="00F91231" w:rsidRDefault="008B6295" w:rsidP="000D07E1">
      <w:pPr>
        <w:pStyle w:val="Bullet2"/>
        <w:numPr>
          <w:ilvl w:val="1"/>
          <w:numId w:val="41"/>
        </w:numPr>
      </w:pPr>
      <w:r w:rsidRPr="00F91231">
        <w:t xml:space="preserve">Post </w:t>
      </w:r>
      <w:proofErr w:type="gramStart"/>
      <w:r w:rsidRPr="00F91231">
        <w:t>offices;</w:t>
      </w:r>
      <w:proofErr w:type="gramEnd"/>
    </w:p>
    <w:p w14:paraId="233C8FD7" w14:textId="77777777" w:rsidR="008B6295" w:rsidRPr="00F91231" w:rsidRDefault="008B6295" w:rsidP="000D07E1">
      <w:pPr>
        <w:pStyle w:val="Bullet2"/>
        <w:numPr>
          <w:ilvl w:val="1"/>
          <w:numId w:val="41"/>
        </w:numPr>
      </w:pPr>
      <w:proofErr w:type="gramStart"/>
      <w:r w:rsidRPr="00F91231">
        <w:t>Libraries;</w:t>
      </w:r>
      <w:proofErr w:type="gramEnd"/>
    </w:p>
    <w:p w14:paraId="6566E612" w14:textId="77777777" w:rsidR="008B6295" w:rsidRPr="00F91231" w:rsidRDefault="008B6295" w:rsidP="000D07E1">
      <w:pPr>
        <w:pStyle w:val="Bullet2"/>
        <w:numPr>
          <w:ilvl w:val="1"/>
          <w:numId w:val="41"/>
        </w:numPr>
      </w:pPr>
      <w:r w:rsidRPr="00F91231">
        <w:t xml:space="preserve">Health </w:t>
      </w:r>
      <w:proofErr w:type="gramStart"/>
      <w:r w:rsidRPr="00F91231">
        <w:t>departments;</w:t>
      </w:r>
      <w:proofErr w:type="gramEnd"/>
    </w:p>
    <w:p w14:paraId="37953EDE" w14:textId="77777777" w:rsidR="008B6295" w:rsidRPr="00F91231" w:rsidRDefault="008B6295" w:rsidP="000D07E1">
      <w:pPr>
        <w:pStyle w:val="Bullet2"/>
        <w:numPr>
          <w:ilvl w:val="1"/>
          <w:numId w:val="41"/>
        </w:numPr>
      </w:pPr>
      <w:r w:rsidRPr="00F91231">
        <w:t xml:space="preserve">DSS offices; and </w:t>
      </w:r>
    </w:p>
    <w:p w14:paraId="7399ADED" w14:textId="77777777" w:rsidR="008B6295" w:rsidRPr="00F91231" w:rsidRDefault="008B6295" w:rsidP="000D07E1">
      <w:pPr>
        <w:pStyle w:val="Bullet2"/>
        <w:numPr>
          <w:ilvl w:val="1"/>
          <w:numId w:val="41"/>
        </w:numPr>
      </w:pPr>
      <w:r w:rsidRPr="00F91231">
        <w:t xml:space="preserve">Any local establishments frequented by project area residents.  </w:t>
      </w:r>
    </w:p>
    <w:p w14:paraId="182050FA" w14:textId="57F7FFBC" w:rsidR="00240B19" w:rsidRPr="00673C2D" w:rsidRDefault="00BF52F0" w:rsidP="000D07E1">
      <w:pPr>
        <w:pStyle w:val="Normal1"/>
        <w:numPr>
          <w:ilvl w:val="0"/>
          <w:numId w:val="40"/>
        </w:numPr>
        <w:rPr>
          <w:u w:val="single"/>
        </w:rPr>
      </w:pPr>
      <w:r w:rsidRPr="008B6295">
        <w:rPr>
          <w:i/>
          <w:iCs/>
        </w:rPr>
        <w:t>Eight-St</w:t>
      </w:r>
      <w:r w:rsidR="00CD4FB6" w:rsidRPr="008B6295">
        <w:rPr>
          <w:i/>
          <w:iCs/>
        </w:rPr>
        <w:t>ep notices</w:t>
      </w:r>
      <w:r w:rsidR="00C64493">
        <w:t xml:space="preserve"> – May be </w:t>
      </w:r>
      <w:r w:rsidR="00673C2D">
        <w:rPr>
          <w:b/>
          <w:bCs/>
        </w:rPr>
        <w:t>publish</w:t>
      </w:r>
      <w:r w:rsidR="00C64493">
        <w:rPr>
          <w:b/>
          <w:bCs/>
        </w:rPr>
        <w:t>ed</w:t>
      </w:r>
      <w:r w:rsidR="00673C2D">
        <w:t xml:space="preserve"> in a newspaper of general circulation </w:t>
      </w:r>
      <w:r w:rsidR="00673C2D" w:rsidRPr="006933AC">
        <w:rPr>
          <w:u w:val="single"/>
        </w:rPr>
        <w:t>or</w:t>
      </w:r>
      <w:r w:rsidR="00673C2D">
        <w:t xml:space="preserve"> on an appropriate government web site that is accessible to individuals with disabilities and provides meaningful access for individuals with Limited English Proficiency</w:t>
      </w:r>
      <w:r w:rsidR="00146DC0">
        <w:t xml:space="preserve">. </w:t>
      </w:r>
      <w:r w:rsidR="00FD4289">
        <w:t>(</w:t>
      </w:r>
      <w:r w:rsidR="00146DC0">
        <w:t xml:space="preserve">NOTE: Posting throughout the local government </w:t>
      </w:r>
      <w:r w:rsidR="00146DC0">
        <w:rPr>
          <w:u w:val="single"/>
        </w:rPr>
        <w:t>is not allowed for these.</w:t>
      </w:r>
      <w:r w:rsidR="00FD4289">
        <w:rPr>
          <w:u w:val="single"/>
        </w:rPr>
        <w:t>)</w:t>
      </w:r>
    </w:p>
    <w:p w14:paraId="0E366691" w14:textId="18C542B3" w:rsidR="00240B19" w:rsidRPr="00305967" w:rsidRDefault="00240B19" w:rsidP="00813CF1">
      <w:pPr>
        <w:pStyle w:val="Bullet2"/>
        <w:numPr>
          <w:ilvl w:val="0"/>
          <w:numId w:val="0"/>
        </w:numPr>
      </w:pPr>
      <w:r>
        <w:t>In addition to publishing or posting public notices, copies</w:t>
      </w:r>
      <w:r w:rsidR="00AC6303">
        <w:t xml:space="preserve"> </w:t>
      </w:r>
      <w:r>
        <w:t>must be disseminated to the following entities:</w:t>
      </w:r>
    </w:p>
    <w:p w14:paraId="58096FCA" w14:textId="27FDB1EB" w:rsidR="00240B19" w:rsidRPr="00F91231" w:rsidRDefault="00240B19" w:rsidP="00813CF1">
      <w:pPr>
        <w:pStyle w:val="Bullet2"/>
        <w:ind w:left="1080"/>
      </w:pPr>
      <w:r w:rsidRPr="00F91231">
        <w:lastRenderedPageBreak/>
        <w:t>Regional Office of the Environmental Protection Agency</w:t>
      </w:r>
      <w:r w:rsidR="00E73095">
        <w:t>; and</w:t>
      </w:r>
    </w:p>
    <w:p w14:paraId="7D126B2D" w14:textId="4A9F48C8" w:rsidR="00240B19" w:rsidRDefault="00240B19" w:rsidP="00813CF1">
      <w:pPr>
        <w:pStyle w:val="Bullet2"/>
        <w:ind w:left="1080"/>
      </w:pPr>
      <w:r w:rsidRPr="00F91231">
        <w:t>Other agencies, groups, or persons who may have an interest in the project</w:t>
      </w:r>
      <w:r w:rsidR="002E1BE7">
        <w:t>, and local news media</w:t>
      </w:r>
      <w:r w:rsidR="00E73095">
        <w:t>.</w:t>
      </w:r>
      <w:r w:rsidRPr="00F91231">
        <w:t xml:space="preserve">  </w:t>
      </w:r>
    </w:p>
    <w:p w14:paraId="707CC2FF" w14:textId="0B550478" w:rsidR="007F1DA8" w:rsidRPr="00F91231" w:rsidRDefault="007F1DA8" w:rsidP="00813CF1">
      <w:pPr>
        <w:pStyle w:val="Bullet2"/>
        <w:numPr>
          <w:ilvl w:val="0"/>
          <w:numId w:val="0"/>
        </w:numPr>
      </w:pPr>
      <w:r>
        <w:t xml:space="preserve">The Certifying Officer must confirm in the </w:t>
      </w:r>
      <w:r w:rsidRPr="2FBB6E41">
        <w:rPr>
          <w:i/>
          <w:iCs/>
        </w:rPr>
        <w:t>Request of Release of Funds</w:t>
      </w:r>
      <w:r>
        <w:t xml:space="preserve"> that notices have been </w:t>
      </w:r>
      <w:r w:rsidR="009A583A">
        <w:t>published/</w:t>
      </w:r>
      <w:r>
        <w:t>posted</w:t>
      </w:r>
      <w:r w:rsidR="007C5DBD">
        <w:t>.</w:t>
      </w:r>
    </w:p>
    <w:p w14:paraId="7F506EE7" w14:textId="369577BF" w:rsidR="00240B19" w:rsidRDefault="00240B19" w:rsidP="00240B19">
      <w:pPr>
        <w:pStyle w:val="Heading3"/>
      </w:pPr>
      <w:r>
        <w:t xml:space="preserve">Public Comment Periods </w:t>
      </w:r>
    </w:p>
    <w:p w14:paraId="4BBB8BA7" w14:textId="6E70A784" w:rsidR="001D6FEC" w:rsidRDefault="006F76C8" w:rsidP="00D012F5">
      <w:pPr>
        <w:pStyle w:val="Normal1"/>
        <w:spacing w:before="0"/>
      </w:pPr>
      <w:r w:rsidRPr="00F91231">
        <w:rPr>
          <w:noProof/>
        </w:rPr>
        <mc:AlternateContent>
          <mc:Choice Requires="wps">
            <w:drawing>
              <wp:anchor distT="0" distB="0" distL="114300" distR="114300" simplePos="0" relativeHeight="251668480" behindDoc="1" locked="0" layoutInCell="1" allowOverlap="1" wp14:anchorId="06C76F7E" wp14:editId="2D08CAA7">
                <wp:simplePos x="0" y="0"/>
                <wp:positionH relativeFrom="column">
                  <wp:posOffset>4354499</wp:posOffset>
                </wp:positionH>
                <wp:positionV relativeFrom="paragraph">
                  <wp:posOffset>8890</wp:posOffset>
                </wp:positionV>
                <wp:extent cx="1676400" cy="1676400"/>
                <wp:effectExtent l="0" t="0" r="95250" b="95250"/>
                <wp:wrapTight wrapText="left">
                  <wp:wrapPolygon edited="0">
                    <wp:start x="0" y="0"/>
                    <wp:lineTo x="0" y="21845"/>
                    <wp:lineTo x="491" y="22582"/>
                    <wp:lineTo x="22582" y="22582"/>
                    <wp:lineTo x="22582" y="982"/>
                    <wp:lineTo x="22091" y="0"/>
                    <wp:lineTo x="0" y="0"/>
                  </wp:wrapPolygon>
                </wp:wrapTight>
                <wp:docPr id="1305661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67640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4D0ACB41" w14:textId="4442F90A" w:rsidR="00836732" w:rsidRPr="004604E6" w:rsidRDefault="00836732" w:rsidP="004604E6">
                            <w:pPr>
                              <w:pStyle w:val="Normal1"/>
                              <w:jc w:val="left"/>
                              <w:rPr>
                                <w:b/>
                              </w:rPr>
                            </w:pPr>
                            <w:r w:rsidRPr="004604E6">
                              <w:rPr>
                                <w:bCs/>
                              </w:rPr>
                              <w:t xml:space="preserve">The date a notice appears in the newspaper or on which it is posted/mailed </w:t>
                            </w:r>
                            <w:r w:rsidRPr="008B52C1">
                              <w:rPr>
                                <w:b/>
                              </w:rPr>
                              <w:t>cannot be counted</w:t>
                            </w:r>
                            <w:r w:rsidRPr="004604E6">
                              <w:rPr>
                                <w:bCs/>
                              </w:rPr>
                              <w:t xml:space="preserve"> when calculating time periods.</w:t>
                            </w:r>
                          </w:p>
                          <w:p w14:paraId="322461D8" w14:textId="77777777" w:rsidR="00836732" w:rsidRDefault="00836732" w:rsidP="006F76C8">
                            <w:pPr>
                              <w:rPr>
                                <w:b/>
                              </w:rPr>
                            </w:pPr>
                          </w:p>
                          <w:p w14:paraId="38CA5E28" w14:textId="77777777" w:rsidR="00836732" w:rsidRDefault="00836732" w:rsidP="006F7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76F7E" id="Text Box 26" o:spid="_x0000_s1031" type="#_x0000_t202" style="position:absolute;left:0;text-align:left;margin-left:342.85pt;margin-top:.7pt;width:132pt;height:13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" strokeweight="1.5pt">
                <v:shadow on="t" offset="6pt,6pt"/>
                <v:textbox>
                  <w:txbxContent>
                    <w:p w14:paraId="4D0ACB41" w14:textId="4442F90A" w:rsidR="00836732" w:rsidRPr="004604E6" w:rsidRDefault="00836732" w:rsidP="004604E6">
                      <w:pPr>
                        <w:pStyle w:val="Normal1"/>
                        <w:jc w:val="left"/>
                        <w:rPr>
                          <w:b/>
                        </w:rPr>
                      </w:pPr>
                      <w:r w:rsidRPr="004604E6">
                        <w:rPr>
                          <w:bCs/>
                        </w:rPr>
                        <w:t xml:space="preserve">The date a notice appears in the newspaper or on which it is posted/mailed </w:t>
                      </w:r>
                      <w:r w:rsidRPr="008B52C1">
                        <w:rPr>
                          <w:b/>
                        </w:rPr>
                        <w:t>cannot be counted</w:t>
                      </w:r>
                      <w:r w:rsidRPr="004604E6">
                        <w:rPr>
                          <w:bCs/>
                        </w:rPr>
                        <w:t xml:space="preserve"> when calculating time periods.</w:t>
                      </w:r>
                    </w:p>
                    <w:p w14:paraId="322461D8" w14:textId="77777777" w:rsidR="00836732" w:rsidRDefault="00836732" w:rsidP="006F76C8">
                      <w:pPr>
                        <w:rPr>
                          <w:b/>
                        </w:rPr>
                      </w:pPr>
                    </w:p>
                    <w:p w14:paraId="38CA5E28" w14:textId="77777777" w:rsidR="00836732" w:rsidRDefault="00836732" w:rsidP="006F76C8"/>
                  </w:txbxContent>
                </v:textbox>
                <w10:wrap type="tight" side="left"/>
              </v:shape>
            </w:pict>
          </mc:Fallback>
        </mc:AlternateContent>
      </w:r>
      <w:r w:rsidR="001D6FEC">
        <w:t>Below</w:t>
      </w:r>
      <w:r w:rsidR="00240B19">
        <w:t xml:space="preserve"> is a chart showing the different time periods</w:t>
      </w:r>
      <w:r w:rsidR="00E446B5">
        <w:t xml:space="preserve">, in calendar days, </w:t>
      </w:r>
      <w:r w:rsidR="00240B19">
        <w:t>and requirements for posting and publishing relevant documents required for</w:t>
      </w:r>
      <w:r w:rsidR="00C06006">
        <w:t xml:space="preserve"> environmental reviews.  </w:t>
      </w:r>
      <w:r w:rsidR="00240B19">
        <w:t xml:space="preserve">Recipients may provide longer comment periods on the </w:t>
      </w:r>
      <w:r w:rsidR="00240B19" w:rsidRPr="00305967">
        <w:rPr>
          <w:i/>
        </w:rPr>
        <w:t>FONSI</w:t>
      </w:r>
      <w:r w:rsidR="00240B19">
        <w:t xml:space="preserve"> and/or </w:t>
      </w:r>
      <w:r w:rsidR="00240B19" w:rsidRPr="00305967">
        <w:rPr>
          <w:i/>
        </w:rPr>
        <w:t>NOI/RROF</w:t>
      </w:r>
      <w:r w:rsidR="00240B19">
        <w:t>, if desired, but these are the minimum number of days required.</w:t>
      </w:r>
    </w:p>
    <w:p w14:paraId="40FE8506" w14:textId="77777777" w:rsidR="006F76C8" w:rsidRDefault="006F76C8" w:rsidP="00D012F5">
      <w:pPr>
        <w:pStyle w:val="Normal1"/>
        <w:spacing w:before="0"/>
      </w:pPr>
    </w:p>
    <w:p w14:paraId="2F2328BE" w14:textId="77777777" w:rsidR="006F76C8" w:rsidRDefault="006F76C8" w:rsidP="00D012F5">
      <w:pPr>
        <w:pStyle w:val="Normal1"/>
        <w:spacing w:before="0"/>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525"/>
        <w:gridCol w:w="1445"/>
        <w:gridCol w:w="3690"/>
      </w:tblGrid>
      <w:tr w:rsidR="003C3FF3" w:rsidRPr="003C3FF3" w14:paraId="3B87D3CC" w14:textId="77777777" w:rsidTr="00657DD9">
        <w:trPr>
          <w:tblHeader/>
        </w:trPr>
        <w:tc>
          <w:tcPr>
            <w:tcW w:w="2340" w:type="dxa"/>
            <w:shd w:val="clear" w:color="auto" w:fill="C0C0C0"/>
            <w:vAlign w:val="center"/>
          </w:tcPr>
          <w:p w14:paraId="74E969B2" w14:textId="77777777" w:rsidR="003C3FF3" w:rsidRPr="003C3FF3" w:rsidRDefault="003C3FF3">
            <w:pPr>
              <w:pStyle w:val="Normal1"/>
              <w:spacing w:before="0" w:after="0"/>
              <w:jc w:val="left"/>
              <w:rPr>
                <w:b/>
              </w:rPr>
            </w:pPr>
            <w:r w:rsidRPr="003C3FF3">
              <w:rPr>
                <w:b/>
              </w:rPr>
              <w:t>Document</w:t>
            </w:r>
          </w:p>
        </w:tc>
        <w:tc>
          <w:tcPr>
            <w:tcW w:w="1525" w:type="dxa"/>
            <w:shd w:val="clear" w:color="auto" w:fill="C0C0C0"/>
            <w:vAlign w:val="center"/>
          </w:tcPr>
          <w:p w14:paraId="3988BE50" w14:textId="77777777" w:rsidR="003C3FF3" w:rsidRPr="003C3FF3" w:rsidRDefault="003C3FF3">
            <w:pPr>
              <w:pStyle w:val="Normal1"/>
              <w:spacing w:before="0" w:after="0"/>
              <w:jc w:val="left"/>
              <w:rPr>
                <w:b/>
              </w:rPr>
            </w:pPr>
            <w:r w:rsidRPr="003C3FF3">
              <w:rPr>
                <w:b/>
              </w:rPr>
              <w:t>Method</w:t>
            </w:r>
          </w:p>
        </w:tc>
        <w:tc>
          <w:tcPr>
            <w:tcW w:w="1445" w:type="dxa"/>
            <w:shd w:val="clear" w:color="auto" w:fill="C0C0C0"/>
            <w:vAlign w:val="center"/>
          </w:tcPr>
          <w:p w14:paraId="4DF9C539" w14:textId="77777777" w:rsidR="003C3FF3" w:rsidRPr="003C3FF3" w:rsidRDefault="003C3FF3">
            <w:pPr>
              <w:pStyle w:val="Normal1"/>
              <w:spacing w:before="0" w:after="0"/>
              <w:jc w:val="left"/>
              <w:rPr>
                <w:b/>
              </w:rPr>
            </w:pPr>
            <w:r w:rsidRPr="003C3FF3">
              <w:rPr>
                <w:b/>
              </w:rPr>
              <w:t>Time Period</w:t>
            </w:r>
          </w:p>
        </w:tc>
        <w:tc>
          <w:tcPr>
            <w:tcW w:w="3690" w:type="dxa"/>
            <w:shd w:val="clear" w:color="auto" w:fill="C0C0C0"/>
            <w:vAlign w:val="center"/>
          </w:tcPr>
          <w:p w14:paraId="02100476" w14:textId="77777777" w:rsidR="003C3FF3" w:rsidRPr="003C3FF3" w:rsidRDefault="003C3FF3">
            <w:pPr>
              <w:pStyle w:val="Normal1"/>
              <w:spacing w:before="0" w:after="0"/>
              <w:jc w:val="left"/>
              <w:rPr>
                <w:b/>
              </w:rPr>
            </w:pPr>
            <w:r w:rsidRPr="003C3FF3">
              <w:rPr>
                <w:b/>
              </w:rPr>
              <w:t>Comments</w:t>
            </w:r>
          </w:p>
        </w:tc>
      </w:tr>
      <w:tr w:rsidR="00240B19" w14:paraId="1A454FE8" w14:textId="77777777" w:rsidTr="00657DD9">
        <w:tc>
          <w:tcPr>
            <w:tcW w:w="2340" w:type="dxa"/>
          </w:tcPr>
          <w:p w14:paraId="64D5040A" w14:textId="77777777" w:rsidR="00240B19" w:rsidRDefault="00240B19">
            <w:pPr>
              <w:pStyle w:val="Normal1"/>
              <w:jc w:val="left"/>
            </w:pPr>
            <w:r>
              <w:t>FONSI</w:t>
            </w:r>
          </w:p>
        </w:tc>
        <w:tc>
          <w:tcPr>
            <w:tcW w:w="1525" w:type="dxa"/>
          </w:tcPr>
          <w:p w14:paraId="5B08D6B0" w14:textId="4FEB3552" w:rsidR="00240B19" w:rsidRDefault="00240B19">
            <w:pPr>
              <w:pStyle w:val="Normal1"/>
            </w:pPr>
            <w:r>
              <w:t>Published</w:t>
            </w:r>
          </w:p>
        </w:tc>
        <w:tc>
          <w:tcPr>
            <w:tcW w:w="1445" w:type="dxa"/>
          </w:tcPr>
          <w:p w14:paraId="7D20FCB8" w14:textId="77777777" w:rsidR="00240B19" w:rsidRDefault="00240B19">
            <w:pPr>
              <w:pStyle w:val="Normal1"/>
              <w:jc w:val="left"/>
            </w:pPr>
            <w:r>
              <w:t xml:space="preserve">15 days </w:t>
            </w:r>
          </w:p>
        </w:tc>
        <w:tc>
          <w:tcPr>
            <w:tcW w:w="3690" w:type="dxa"/>
          </w:tcPr>
          <w:p w14:paraId="758C166D" w14:textId="39998D24" w:rsidR="00240B19" w:rsidRDefault="00671536">
            <w:pPr>
              <w:pStyle w:val="Normal1"/>
              <w:jc w:val="left"/>
            </w:pPr>
            <w:r>
              <w:t>Published in</w:t>
            </w:r>
            <w:r w:rsidR="007F2482">
              <w:t xml:space="preserve"> newspaper of general circulation</w:t>
            </w:r>
            <w:r w:rsidR="009A583A">
              <w:t>,</w:t>
            </w:r>
            <w:r w:rsidR="007F2482">
              <w:t xml:space="preserve"> </w:t>
            </w:r>
            <w:r w:rsidR="007F2482" w:rsidRPr="009A583A">
              <w:rPr>
                <w:u w:val="single"/>
              </w:rPr>
              <w:t>or</w:t>
            </w:r>
            <w:r w:rsidR="007F2482">
              <w:t xml:space="preserve"> on a</w:t>
            </w:r>
            <w:r w:rsidR="009979C4">
              <w:t>n appropriate</w:t>
            </w:r>
            <w:r w:rsidR="007F2482">
              <w:t xml:space="preserve"> government website.</w:t>
            </w:r>
          </w:p>
        </w:tc>
      </w:tr>
      <w:tr w:rsidR="00240B19" w14:paraId="49D329F4" w14:textId="77777777" w:rsidTr="00657DD9">
        <w:tc>
          <w:tcPr>
            <w:tcW w:w="2340" w:type="dxa"/>
          </w:tcPr>
          <w:p w14:paraId="701737F1" w14:textId="72D770AE" w:rsidR="00240B19" w:rsidRDefault="00240B19">
            <w:pPr>
              <w:pStyle w:val="Normal1"/>
              <w:jc w:val="left"/>
            </w:pPr>
          </w:p>
        </w:tc>
        <w:tc>
          <w:tcPr>
            <w:tcW w:w="1525" w:type="dxa"/>
          </w:tcPr>
          <w:p w14:paraId="45CA0F63" w14:textId="77777777" w:rsidR="00240B19" w:rsidRDefault="00240B19">
            <w:pPr>
              <w:pStyle w:val="Normal1"/>
            </w:pPr>
            <w:r>
              <w:t>Posted</w:t>
            </w:r>
          </w:p>
        </w:tc>
        <w:tc>
          <w:tcPr>
            <w:tcW w:w="1445" w:type="dxa"/>
          </w:tcPr>
          <w:p w14:paraId="73BD2619" w14:textId="77777777" w:rsidR="00240B19" w:rsidRDefault="00C06006">
            <w:pPr>
              <w:pStyle w:val="Normal1"/>
              <w:jc w:val="left"/>
            </w:pPr>
            <w:r>
              <w:t xml:space="preserve">18 </w:t>
            </w:r>
            <w:r w:rsidR="00240B19">
              <w:t xml:space="preserve">days </w:t>
            </w:r>
          </w:p>
        </w:tc>
        <w:tc>
          <w:tcPr>
            <w:tcW w:w="3690" w:type="dxa"/>
          </w:tcPr>
          <w:p w14:paraId="3A6B84D1" w14:textId="614F4D9E" w:rsidR="00240B19" w:rsidRDefault="00671536">
            <w:pPr>
              <w:pStyle w:val="Normal1"/>
              <w:jc w:val="left"/>
            </w:pPr>
            <w:r>
              <w:t>Posted in</w:t>
            </w:r>
            <w:r w:rsidR="009D12CB">
              <w:t xml:space="preserve"> suitable locations</w:t>
            </w:r>
            <w:r w:rsidR="000772C1">
              <w:t xml:space="preserve"> in the unit of local government.</w:t>
            </w:r>
          </w:p>
        </w:tc>
      </w:tr>
      <w:tr w:rsidR="00240B19" w14:paraId="7F1A7764" w14:textId="77777777" w:rsidTr="00657DD9">
        <w:tc>
          <w:tcPr>
            <w:tcW w:w="2340" w:type="dxa"/>
          </w:tcPr>
          <w:p w14:paraId="44FD6249" w14:textId="5C9CFF19" w:rsidR="00240B19" w:rsidRDefault="007D4664">
            <w:pPr>
              <w:pStyle w:val="Normal1"/>
              <w:jc w:val="left"/>
            </w:pPr>
            <w:r>
              <w:t>Notice of Intent to Request Release of Funds (</w:t>
            </w:r>
            <w:hyperlink r:id="rId63" w:history="1">
              <w:r w:rsidR="00B02801" w:rsidRPr="00183DBE">
                <w:rPr>
                  <w:rStyle w:val="Hyperlink"/>
                </w:rPr>
                <w:t>NOI/RROF</w:t>
              </w:r>
            </w:hyperlink>
            <w:r>
              <w:rPr>
                <w:rStyle w:val="Hyperlink"/>
              </w:rPr>
              <w:t>)</w:t>
            </w:r>
          </w:p>
        </w:tc>
        <w:tc>
          <w:tcPr>
            <w:tcW w:w="1525" w:type="dxa"/>
          </w:tcPr>
          <w:p w14:paraId="47B072E5" w14:textId="77777777" w:rsidR="00240B19" w:rsidRDefault="00240B19">
            <w:pPr>
              <w:pStyle w:val="Normal1"/>
            </w:pPr>
            <w:r>
              <w:t>Published</w:t>
            </w:r>
          </w:p>
        </w:tc>
        <w:tc>
          <w:tcPr>
            <w:tcW w:w="1445" w:type="dxa"/>
          </w:tcPr>
          <w:p w14:paraId="57349601" w14:textId="77777777" w:rsidR="00240B19" w:rsidRDefault="00240B19">
            <w:pPr>
              <w:pStyle w:val="Normal1"/>
              <w:spacing w:after="60"/>
              <w:jc w:val="left"/>
            </w:pPr>
            <w:r>
              <w:t xml:space="preserve">7 days </w:t>
            </w:r>
          </w:p>
          <w:p w14:paraId="176B83E6" w14:textId="64B1B179" w:rsidR="00240B19" w:rsidRDefault="00240B19">
            <w:pPr>
              <w:pStyle w:val="Normal1"/>
              <w:jc w:val="left"/>
            </w:pPr>
          </w:p>
        </w:tc>
        <w:tc>
          <w:tcPr>
            <w:tcW w:w="3690" w:type="dxa"/>
          </w:tcPr>
          <w:p w14:paraId="12AFD8BD" w14:textId="555A8004" w:rsidR="00240B19" w:rsidRDefault="00240B19">
            <w:pPr>
              <w:pStyle w:val="Normal1"/>
              <w:jc w:val="left"/>
            </w:pPr>
            <w:r>
              <w:t xml:space="preserve">Published </w:t>
            </w:r>
            <w:r w:rsidR="007D4664">
              <w:t xml:space="preserve">in newspaper of general circulation, </w:t>
            </w:r>
            <w:r w:rsidR="009979C4" w:rsidRPr="007D4664">
              <w:rPr>
                <w:u w:val="single"/>
              </w:rPr>
              <w:t>or</w:t>
            </w:r>
            <w:r w:rsidR="009979C4">
              <w:t xml:space="preserve"> on an appropriate government website </w:t>
            </w:r>
            <w:r w:rsidR="00DE39DC" w:rsidRPr="004917F6">
              <w:rPr>
                <w:i/>
                <w:iCs/>
                <w:sz w:val="20"/>
              </w:rPr>
              <w:t>(</w:t>
            </w:r>
            <w:r w:rsidRPr="004917F6">
              <w:rPr>
                <w:i/>
                <w:iCs/>
                <w:sz w:val="20"/>
              </w:rPr>
              <w:t>for a project that is categorically excluded subject to Sec. 58.5 and does not convert to exempt; or after the FONSI comment period ends for an EA</w:t>
            </w:r>
            <w:r w:rsidR="00DE39DC" w:rsidRPr="004917F6">
              <w:rPr>
                <w:i/>
                <w:iCs/>
                <w:sz w:val="20"/>
              </w:rPr>
              <w:t>)</w:t>
            </w:r>
          </w:p>
        </w:tc>
      </w:tr>
      <w:tr w:rsidR="00240B19" w14:paraId="42CC1BA2" w14:textId="77777777" w:rsidTr="00657DD9">
        <w:tc>
          <w:tcPr>
            <w:tcW w:w="2340" w:type="dxa"/>
          </w:tcPr>
          <w:p w14:paraId="35632207" w14:textId="0FF25011" w:rsidR="00240B19" w:rsidRDefault="00240B19">
            <w:pPr>
              <w:pStyle w:val="Normal1"/>
              <w:jc w:val="left"/>
            </w:pPr>
          </w:p>
        </w:tc>
        <w:tc>
          <w:tcPr>
            <w:tcW w:w="1525" w:type="dxa"/>
          </w:tcPr>
          <w:p w14:paraId="371D3332" w14:textId="77777777" w:rsidR="00240B19" w:rsidRDefault="00240B19">
            <w:pPr>
              <w:pStyle w:val="Normal1"/>
            </w:pPr>
            <w:r>
              <w:t>Posted</w:t>
            </w:r>
          </w:p>
        </w:tc>
        <w:tc>
          <w:tcPr>
            <w:tcW w:w="1445" w:type="dxa"/>
          </w:tcPr>
          <w:p w14:paraId="7641D808" w14:textId="77777777" w:rsidR="00240B19" w:rsidRDefault="00240B19">
            <w:pPr>
              <w:pStyle w:val="Normal1"/>
              <w:spacing w:after="60"/>
              <w:jc w:val="left"/>
            </w:pPr>
            <w:r>
              <w:t xml:space="preserve">10 days </w:t>
            </w:r>
          </w:p>
          <w:p w14:paraId="5709A710" w14:textId="5DF65F3C" w:rsidR="00240B19" w:rsidRDefault="00240B19">
            <w:pPr>
              <w:pStyle w:val="Normal1"/>
              <w:jc w:val="left"/>
            </w:pPr>
          </w:p>
        </w:tc>
        <w:tc>
          <w:tcPr>
            <w:tcW w:w="3690" w:type="dxa"/>
          </w:tcPr>
          <w:p w14:paraId="285AE9E7" w14:textId="5391AEE4" w:rsidR="00240B19" w:rsidRDefault="00240B19">
            <w:pPr>
              <w:pStyle w:val="Normal1"/>
              <w:jc w:val="left"/>
            </w:pPr>
            <w:r>
              <w:t xml:space="preserve">Posted </w:t>
            </w:r>
            <w:r w:rsidR="00764CBF">
              <w:t xml:space="preserve">in suitable locations in the unit of local government </w:t>
            </w:r>
            <w:r w:rsidR="00DE39DC" w:rsidRPr="004917F6">
              <w:rPr>
                <w:i/>
                <w:iCs/>
                <w:sz w:val="20"/>
              </w:rPr>
              <w:t>(</w:t>
            </w:r>
            <w:r w:rsidRPr="004917F6">
              <w:rPr>
                <w:i/>
                <w:iCs/>
                <w:sz w:val="20"/>
              </w:rPr>
              <w:t>for a project that is categorically excluded subject to sec. 58.5 and does not convert to exempt; or after the FONSI comment period ends for an EA</w:t>
            </w:r>
            <w:r w:rsidR="00DE39DC" w:rsidRPr="004917F6">
              <w:rPr>
                <w:i/>
                <w:iCs/>
                <w:sz w:val="20"/>
              </w:rPr>
              <w:t>)</w:t>
            </w:r>
            <w:r>
              <w:t xml:space="preserve">  </w:t>
            </w:r>
          </w:p>
        </w:tc>
      </w:tr>
    </w:tbl>
    <w:p w14:paraId="29A29A83" w14:textId="77777777" w:rsidR="00731D6F" w:rsidRDefault="00731D6F">
      <w:r>
        <w:br w:type="page"/>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525"/>
        <w:gridCol w:w="1445"/>
        <w:gridCol w:w="3690"/>
      </w:tblGrid>
      <w:tr w:rsidR="00240B19" w14:paraId="5BB234DF" w14:textId="77777777" w:rsidTr="00657DD9">
        <w:tc>
          <w:tcPr>
            <w:tcW w:w="2340" w:type="dxa"/>
          </w:tcPr>
          <w:p w14:paraId="2B4CF217" w14:textId="74638999" w:rsidR="00240B19" w:rsidRPr="00060118" w:rsidRDefault="00060118">
            <w:pPr>
              <w:pStyle w:val="Normal1"/>
              <w:jc w:val="left"/>
            </w:pPr>
            <w:r>
              <w:lastRenderedPageBreak/>
              <w:t>Finding of No Significant Impact and Notice of Intent to Request Release of Funds (</w:t>
            </w:r>
            <w:hyperlink r:id="rId64" w:history="1">
              <w:r w:rsidR="00183DBE" w:rsidRPr="00183DBE">
                <w:rPr>
                  <w:rStyle w:val="Hyperlink"/>
                </w:rPr>
                <w:t>FONSI and NOI/RROF</w:t>
              </w:r>
            </w:hyperlink>
            <w:r>
              <w:rPr>
                <w:rStyle w:val="Hyperlink"/>
              </w:rPr>
              <w:t>)</w:t>
            </w:r>
            <w:r>
              <w:rPr>
                <w:rStyle w:val="Hyperlink"/>
                <w:u w:val="none"/>
              </w:rPr>
              <w:t xml:space="preserve"> </w:t>
            </w:r>
          </w:p>
        </w:tc>
        <w:tc>
          <w:tcPr>
            <w:tcW w:w="1525" w:type="dxa"/>
          </w:tcPr>
          <w:p w14:paraId="41F026D6" w14:textId="77777777" w:rsidR="00240B19" w:rsidRDefault="00240B19">
            <w:pPr>
              <w:pStyle w:val="Normal1"/>
            </w:pPr>
            <w:r>
              <w:t xml:space="preserve">Published </w:t>
            </w:r>
          </w:p>
        </w:tc>
        <w:tc>
          <w:tcPr>
            <w:tcW w:w="1445" w:type="dxa"/>
          </w:tcPr>
          <w:p w14:paraId="350EA859" w14:textId="388B4C51" w:rsidR="00240B19" w:rsidRDefault="00240B19">
            <w:pPr>
              <w:pStyle w:val="Normal1"/>
              <w:jc w:val="left"/>
            </w:pPr>
            <w:r>
              <w:t xml:space="preserve">15 days  </w:t>
            </w:r>
          </w:p>
          <w:p w14:paraId="0E5D388D" w14:textId="1A7AB327" w:rsidR="00240B19" w:rsidRDefault="00240B19">
            <w:pPr>
              <w:pStyle w:val="Normal1"/>
              <w:jc w:val="left"/>
            </w:pPr>
          </w:p>
        </w:tc>
        <w:tc>
          <w:tcPr>
            <w:tcW w:w="3690" w:type="dxa"/>
          </w:tcPr>
          <w:p w14:paraId="294F2103" w14:textId="4EA06884" w:rsidR="00240B19" w:rsidRDefault="00240B19">
            <w:pPr>
              <w:pStyle w:val="Normal1"/>
              <w:jc w:val="left"/>
            </w:pPr>
            <w:r>
              <w:t>Published</w:t>
            </w:r>
            <w:r w:rsidR="004F69D4">
              <w:t xml:space="preserve"> in newspaper of general circulation,</w:t>
            </w:r>
            <w:r>
              <w:t xml:space="preserve"> </w:t>
            </w:r>
            <w:r w:rsidR="009979C4" w:rsidRPr="004F69D4">
              <w:rPr>
                <w:u w:val="single"/>
              </w:rPr>
              <w:t>or</w:t>
            </w:r>
            <w:r w:rsidR="009979C4">
              <w:t xml:space="preserve"> an appropriate government website </w:t>
            </w:r>
            <w:r>
              <w:t>as a combined notice.</w:t>
            </w:r>
          </w:p>
        </w:tc>
      </w:tr>
      <w:tr w:rsidR="00240B19" w14:paraId="732CB528" w14:textId="77777777" w:rsidTr="00657DD9">
        <w:tc>
          <w:tcPr>
            <w:tcW w:w="2340" w:type="dxa"/>
          </w:tcPr>
          <w:p w14:paraId="5EA34579" w14:textId="70379FAE" w:rsidR="00240B19" w:rsidRDefault="00240B19">
            <w:pPr>
              <w:pStyle w:val="Normal1"/>
              <w:jc w:val="left"/>
            </w:pPr>
          </w:p>
        </w:tc>
        <w:tc>
          <w:tcPr>
            <w:tcW w:w="1525" w:type="dxa"/>
          </w:tcPr>
          <w:p w14:paraId="38AD1377" w14:textId="77777777" w:rsidR="00240B19" w:rsidRDefault="00240B19">
            <w:pPr>
              <w:pStyle w:val="Normal1"/>
            </w:pPr>
            <w:r>
              <w:t>Posted</w:t>
            </w:r>
          </w:p>
        </w:tc>
        <w:tc>
          <w:tcPr>
            <w:tcW w:w="1445" w:type="dxa"/>
          </w:tcPr>
          <w:p w14:paraId="62D09445" w14:textId="77777777" w:rsidR="00240B19" w:rsidRDefault="00240B19">
            <w:pPr>
              <w:pStyle w:val="Normal1"/>
              <w:jc w:val="left"/>
            </w:pPr>
            <w:r>
              <w:t xml:space="preserve">18 days </w:t>
            </w:r>
          </w:p>
          <w:p w14:paraId="76D50550" w14:textId="20F5BF1D" w:rsidR="00240B19" w:rsidRDefault="00240B19">
            <w:pPr>
              <w:pStyle w:val="Normal1"/>
              <w:jc w:val="left"/>
            </w:pPr>
          </w:p>
        </w:tc>
        <w:tc>
          <w:tcPr>
            <w:tcW w:w="3690" w:type="dxa"/>
          </w:tcPr>
          <w:p w14:paraId="6539BDA1" w14:textId="4400BDEC" w:rsidR="00240B19" w:rsidRDefault="00C76760">
            <w:pPr>
              <w:pStyle w:val="Normal1"/>
              <w:jc w:val="left"/>
            </w:pPr>
            <w:r>
              <w:t>Posted</w:t>
            </w:r>
            <w:r w:rsidR="00240B19">
              <w:t xml:space="preserve"> </w:t>
            </w:r>
            <w:r w:rsidR="005E144B">
              <w:t xml:space="preserve">in suitable locations in the unit of local government </w:t>
            </w:r>
            <w:r w:rsidR="00240B19">
              <w:t>as a combined notice.</w:t>
            </w:r>
          </w:p>
        </w:tc>
      </w:tr>
      <w:tr w:rsidR="00240B19" w14:paraId="6BCB0D80" w14:textId="77777777" w:rsidTr="00657DD9">
        <w:tc>
          <w:tcPr>
            <w:tcW w:w="2340" w:type="dxa"/>
          </w:tcPr>
          <w:p w14:paraId="152EC069" w14:textId="77777777" w:rsidR="00240B19" w:rsidRDefault="00240B19">
            <w:pPr>
              <w:pStyle w:val="Normal1"/>
              <w:jc w:val="left"/>
            </w:pPr>
            <w:r>
              <w:t>Early</w:t>
            </w:r>
            <w:r w:rsidR="004A5DD3">
              <w:t xml:space="preserve"> Notice and </w:t>
            </w:r>
            <w:r>
              <w:t xml:space="preserve">Public Review </w:t>
            </w:r>
          </w:p>
        </w:tc>
        <w:tc>
          <w:tcPr>
            <w:tcW w:w="1525" w:type="dxa"/>
          </w:tcPr>
          <w:p w14:paraId="3D983FCE" w14:textId="7D5B980D" w:rsidR="00240B19" w:rsidRDefault="00240B19">
            <w:pPr>
              <w:pStyle w:val="Normal1"/>
            </w:pPr>
            <w:r>
              <w:t>Published</w:t>
            </w:r>
            <w:r w:rsidR="007E1E0E">
              <w:t xml:space="preserve"> only - either</w:t>
            </w:r>
            <w:r w:rsidR="009979C4">
              <w:t xml:space="preserve"> </w:t>
            </w:r>
            <w:r w:rsidR="005E144B">
              <w:t>in newsp</w:t>
            </w:r>
            <w:r w:rsidR="00AB2BAE">
              <w:t xml:space="preserve">aper of general circulation, </w:t>
            </w:r>
            <w:r w:rsidR="009979C4" w:rsidRPr="00AB2BAE">
              <w:rPr>
                <w:u w:val="single"/>
              </w:rPr>
              <w:t>or</w:t>
            </w:r>
            <w:r w:rsidR="00AB2BAE">
              <w:t xml:space="preserve"> </w:t>
            </w:r>
            <w:r w:rsidR="009979C4">
              <w:t>on a</w:t>
            </w:r>
            <w:r w:rsidR="00301C21">
              <w:t>n appropriate government</w:t>
            </w:r>
            <w:r w:rsidR="009979C4">
              <w:t xml:space="preserve"> website</w:t>
            </w:r>
          </w:p>
        </w:tc>
        <w:tc>
          <w:tcPr>
            <w:tcW w:w="1445" w:type="dxa"/>
          </w:tcPr>
          <w:p w14:paraId="14D49C81" w14:textId="77777777" w:rsidR="00240B19" w:rsidRDefault="00240B19">
            <w:pPr>
              <w:pStyle w:val="Normal1"/>
              <w:jc w:val="left"/>
            </w:pPr>
            <w:r>
              <w:t>15 days</w:t>
            </w:r>
          </w:p>
        </w:tc>
        <w:tc>
          <w:tcPr>
            <w:tcW w:w="3690" w:type="dxa"/>
          </w:tcPr>
          <w:p w14:paraId="28A8F6F7" w14:textId="77777777" w:rsidR="00240B19" w:rsidRDefault="002D3D15">
            <w:pPr>
              <w:pStyle w:val="Normal1"/>
              <w:jc w:val="left"/>
            </w:pPr>
            <w:r w:rsidRPr="004604E6">
              <w:rPr>
                <w:i/>
                <w:iCs/>
              </w:rPr>
              <w:t>See</w:t>
            </w:r>
            <w:r>
              <w:t xml:space="preserve"> </w:t>
            </w:r>
            <w:r w:rsidR="009979C4">
              <w:t xml:space="preserve">24 CFR Part 55, </w:t>
            </w:r>
            <w:r w:rsidR="000A4B41">
              <w:t xml:space="preserve">FFRMS Executive Order 13690, </w:t>
            </w:r>
            <w:r w:rsidR="00240B19">
              <w:t>Floodplains EO</w:t>
            </w:r>
            <w:r w:rsidR="0035192F">
              <w:t xml:space="preserve"> </w:t>
            </w:r>
            <w:r w:rsidR="00240B19">
              <w:t>11988 and Wetlands EO 11990</w:t>
            </w:r>
          </w:p>
          <w:p w14:paraId="3B84AC19" w14:textId="672FA607" w:rsidR="00471417" w:rsidRPr="00050306" w:rsidRDefault="00471417" w:rsidP="007E1E0E">
            <w:pPr>
              <w:pStyle w:val="Normal1"/>
              <w:jc w:val="center"/>
              <w:rPr>
                <w:sz w:val="20"/>
              </w:rPr>
            </w:pPr>
            <w:r w:rsidRPr="00050306">
              <w:rPr>
                <w:sz w:val="20"/>
              </w:rPr>
              <w:t xml:space="preserve">*Posting of this notice </w:t>
            </w:r>
            <w:r w:rsidR="00050306" w:rsidRPr="00050306">
              <w:rPr>
                <w:sz w:val="20"/>
              </w:rPr>
              <w:t xml:space="preserve">in suitable locations </w:t>
            </w:r>
            <w:r w:rsidRPr="00050306">
              <w:rPr>
                <w:sz w:val="20"/>
              </w:rPr>
              <w:t xml:space="preserve">throughout the </w:t>
            </w:r>
            <w:r w:rsidR="007E1E0E" w:rsidRPr="00050306">
              <w:rPr>
                <w:sz w:val="20"/>
              </w:rPr>
              <w:t xml:space="preserve">local government is </w:t>
            </w:r>
            <w:r w:rsidR="007E1E0E" w:rsidRPr="00050306">
              <w:rPr>
                <w:sz w:val="20"/>
                <w:u w:val="single"/>
              </w:rPr>
              <w:t>not</w:t>
            </w:r>
            <w:r w:rsidR="007E1E0E" w:rsidRPr="00050306">
              <w:rPr>
                <w:sz w:val="20"/>
              </w:rPr>
              <w:t xml:space="preserve"> allowed*</w:t>
            </w:r>
          </w:p>
        </w:tc>
      </w:tr>
      <w:tr w:rsidR="00240B19" w14:paraId="6C6B2F26" w14:textId="77777777" w:rsidTr="00657DD9">
        <w:trPr>
          <w:trHeight w:val="341"/>
        </w:trPr>
        <w:tc>
          <w:tcPr>
            <w:tcW w:w="2340" w:type="dxa"/>
          </w:tcPr>
          <w:p w14:paraId="67D1E035" w14:textId="0CBE9C74" w:rsidR="00240B19" w:rsidRDefault="009979C4">
            <w:pPr>
              <w:pStyle w:val="Normal1"/>
              <w:jc w:val="left"/>
            </w:pPr>
            <w:r>
              <w:t>Final Notice of Explanation</w:t>
            </w:r>
          </w:p>
        </w:tc>
        <w:tc>
          <w:tcPr>
            <w:tcW w:w="1525" w:type="dxa"/>
          </w:tcPr>
          <w:p w14:paraId="79934311" w14:textId="2A65A2F1" w:rsidR="00240B19" w:rsidRDefault="00240B19">
            <w:pPr>
              <w:pStyle w:val="Normal1"/>
            </w:pPr>
            <w:r>
              <w:t>Published</w:t>
            </w:r>
            <w:r w:rsidR="00AB2BAE">
              <w:t xml:space="preserve"> </w:t>
            </w:r>
            <w:r w:rsidR="007E1E0E">
              <w:t xml:space="preserve">only – either </w:t>
            </w:r>
            <w:r w:rsidR="00AB2BAE">
              <w:t>in newspaper of general circulation,</w:t>
            </w:r>
            <w:r w:rsidR="009979C4">
              <w:t xml:space="preserve"> </w:t>
            </w:r>
            <w:r w:rsidR="009979C4" w:rsidRPr="00AB2BAE">
              <w:rPr>
                <w:u w:val="single"/>
              </w:rPr>
              <w:t>or</w:t>
            </w:r>
            <w:r w:rsidR="009979C4">
              <w:t xml:space="preserve"> on a</w:t>
            </w:r>
            <w:r w:rsidR="00301C21">
              <w:t>n appropriate government</w:t>
            </w:r>
            <w:r w:rsidR="009979C4">
              <w:t xml:space="preserve"> website</w:t>
            </w:r>
          </w:p>
        </w:tc>
        <w:tc>
          <w:tcPr>
            <w:tcW w:w="1445" w:type="dxa"/>
          </w:tcPr>
          <w:p w14:paraId="2180E002" w14:textId="77777777" w:rsidR="00240B19" w:rsidRDefault="00C140AE">
            <w:pPr>
              <w:pStyle w:val="Normal1"/>
              <w:jc w:val="left"/>
            </w:pPr>
            <w:r>
              <w:t xml:space="preserve">7 </w:t>
            </w:r>
            <w:r w:rsidR="00240B19">
              <w:t xml:space="preserve">days </w:t>
            </w:r>
          </w:p>
        </w:tc>
        <w:tc>
          <w:tcPr>
            <w:tcW w:w="3690" w:type="dxa"/>
          </w:tcPr>
          <w:p w14:paraId="15DAB8F1" w14:textId="77777777" w:rsidR="00240B19" w:rsidRDefault="00C92CCA">
            <w:pPr>
              <w:pStyle w:val="Normal1"/>
              <w:jc w:val="left"/>
            </w:pPr>
            <w:r w:rsidRPr="004604E6">
              <w:rPr>
                <w:i/>
                <w:iCs/>
              </w:rPr>
              <w:t>See</w:t>
            </w:r>
            <w:r>
              <w:t xml:space="preserve"> </w:t>
            </w:r>
            <w:r w:rsidR="009979C4">
              <w:t xml:space="preserve">24 CFR Part 55, </w:t>
            </w:r>
            <w:r w:rsidR="000A4B41">
              <w:t xml:space="preserve">FFMRS Executive Order 13690, </w:t>
            </w:r>
            <w:r w:rsidR="0035192F">
              <w:t>Floodplains EO 11988 and Wetlands EO 11990</w:t>
            </w:r>
          </w:p>
          <w:p w14:paraId="73E9D3B1" w14:textId="15911A92" w:rsidR="007E1E0E" w:rsidRPr="00050306" w:rsidRDefault="007E1E0E" w:rsidP="007E1E0E">
            <w:pPr>
              <w:pStyle w:val="Normal1"/>
              <w:jc w:val="center"/>
              <w:rPr>
                <w:sz w:val="20"/>
              </w:rPr>
            </w:pPr>
            <w:r w:rsidRPr="00050306">
              <w:rPr>
                <w:sz w:val="20"/>
              </w:rPr>
              <w:t xml:space="preserve">*Posting of this notice </w:t>
            </w:r>
            <w:r w:rsidR="00050306" w:rsidRPr="00050306">
              <w:rPr>
                <w:sz w:val="20"/>
              </w:rPr>
              <w:t>in suitable locations</w:t>
            </w:r>
            <w:r w:rsidRPr="00050306">
              <w:rPr>
                <w:sz w:val="20"/>
              </w:rPr>
              <w:t xml:space="preserve"> throughout the local government is </w:t>
            </w:r>
            <w:r w:rsidRPr="00050306">
              <w:rPr>
                <w:sz w:val="20"/>
                <w:u w:val="single"/>
              </w:rPr>
              <w:t>not</w:t>
            </w:r>
            <w:r w:rsidRPr="00050306">
              <w:rPr>
                <w:sz w:val="20"/>
              </w:rPr>
              <w:t xml:space="preserve"> allowed*</w:t>
            </w:r>
          </w:p>
        </w:tc>
      </w:tr>
    </w:tbl>
    <w:p w14:paraId="66FCBCC3" w14:textId="6DC4907E" w:rsidR="00B863E7" w:rsidRPr="00B863E7" w:rsidRDefault="00B863E7">
      <w:pPr>
        <w:rPr>
          <w:sz w:val="16"/>
          <w:szCs w:val="16"/>
        </w:rPr>
      </w:pPr>
    </w:p>
    <w:p w14:paraId="0308F6E2" w14:textId="052ACDF8" w:rsidR="00240B19" w:rsidRDefault="00240B19" w:rsidP="00240B19">
      <w:pPr>
        <w:pStyle w:val="Heading2"/>
      </w:pPr>
      <w:bookmarkStart w:id="17" w:name="_Section_6_–"/>
      <w:bookmarkEnd w:id="17"/>
      <w:r>
        <w:t xml:space="preserve">Section </w:t>
      </w:r>
      <w:r w:rsidR="00CA4416">
        <w:t>6</w:t>
      </w:r>
      <w:r>
        <w:t xml:space="preserve"> – </w:t>
      </w:r>
      <w:r w:rsidR="00BC7719">
        <w:t>Anti-Duplication Measures</w:t>
      </w:r>
    </w:p>
    <w:p w14:paraId="0D2058D1" w14:textId="2435D586" w:rsidR="00BC7719" w:rsidRDefault="00BC7719" w:rsidP="004604E6">
      <w:pPr>
        <w:pStyle w:val="Heading3"/>
      </w:pPr>
      <w:r>
        <w:t>Environmental Reviews Prepared by or for Other Federal Agencies</w:t>
      </w:r>
    </w:p>
    <w:p w14:paraId="09F3EE9B" w14:textId="0088B39E" w:rsidR="00240B19" w:rsidRDefault="00A76E42" w:rsidP="00240B19">
      <w:pPr>
        <w:pStyle w:val="Normal1"/>
      </w:pPr>
      <w:r>
        <w:t>The State</w:t>
      </w:r>
      <w:r w:rsidR="00C92CCA">
        <w:t xml:space="preserve"> </w:t>
      </w:r>
      <w:r w:rsidR="00240B19">
        <w:t xml:space="preserve">will accept environmental reviews prepared by or for other Federal funding agencies provided that the ERR and associated public notifications meet or exceed the requirements established by 24 CFR Part 58.  </w:t>
      </w:r>
    </w:p>
    <w:p w14:paraId="6E15741E" w14:textId="175F60E9" w:rsidR="00240B19" w:rsidRPr="00305967" w:rsidRDefault="00240B19" w:rsidP="00132ED1">
      <w:pPr>
        <w:pStyle w:val="Bullet10"/>
      </w:pPr>
      <w:r>
        <w:lastRenderedPageBreak/>
        <w:t xml:space="preserve">A recipient wishing to utilize an ERR prepared by or for another Federal funding agency </w:t>
      </w:r>
      <w:r w:rsidR="00C536F7">
        <w:t>must</w:t>
      </w:r>
      <w:r>
        <w:t>:</w:t>
      </w:r>
    </w:p>
    <w:p w14:paraId="4814A27E" w14:textId="41157A13" w:rsidR="00240B19" w:rsidRPr="00305967" w:rsidRDefault="00240B19" w:rsidP="004604E6">
      <w:pPr>
        <w:pStyle w:val="Bullet2"/>
        <w:ind w:left="1440"/>
      </w:pPr>
      <w:r w:rsidRPr="00305967">
        <w:t xml:space="preserve">Make an independent evaluation of the environmental </w:t>
      </w:r>
      <w:proofErr w:type="gramStart"/>
      <w:r w:rsidRPr="00305967">
        <w:t>issues</w:t>
      </w:r>
      <w:r w:rsidR="004A5449">
        <w:t>;</w:t>
      </w:r>
      <w:proofErr w:type="gramEnd"/>
    </w:p>
    <w:p w14:paraId="5AAA9337" w14:textId="6FF90F6B" w:rsidR="00240B19" w:rsidRPr="00305967" w:rsidRDefault="00240B19" w:rsidP="004604E6">
      <w:pPr>
        <w:pStyle w:val="Bullet2"/>
        <w:ind w:left="1440"/>
      </w:pPr>
      <w:r w:rsidRPr="00305967">
        <w:t xml:space="preserve">Take responsibility for the scope and content of the environmental </w:t>
      </w:r>
      <w:proofErr w:type="gramStart"/>
      <w:r w:rsidRPr="00305967">
        <w:t>review</w:t>
      </w:r>
      <w:r w:rsidR="004A5449">
        <w:t>;</w:t>
      </w:r>
      <w:proofErr w:type="gramEnd"/>
      <w:r w:rsidRPr="00305967">
        <w:t xml:space="preserve"> </w:t>
      </w:r>
    </w:p>
    <w:p w14:paraId="5CDE7DD8" w14:textId="40D15C3B" w:rsidR="00240B19" w:rsidRPr="00305967" w:rsidRDefault="00240B19" w:rsidP="004604E6">
      <w:pPr>
        <w:pStyle w:val="Bullet2"/>
        <w:ind w:left="1440"/>
      </w:pPr>
      <w:r w:rsidRPr="00305967">
        <w:t xml:space="preserve">Make an environmental </w:t>
      </w:r>
      <w:proofErr w:type="gramStart"/>
      <w:r w:rsidRPr="00305967">
        <w:t>finding</w:t>
      </w:r>
      <w:r w:rsidR="004A5449">
        <w:t>;</w:t>
      </w:r>
      <w:proofErr w:type="gramEnd"/>
    </w:p>
    <w:p w14:paraId="5E8EB1A4" w14:textId="3ACC0DB0" w:rsidR="00240B19" w:rsidRPr="00305967" w:rsidRDefault="00240B19" w:rsidP="004604E6">
      <w:pPr>
        <w:pStyle w:val="Bullet2"/>
        <w:ind w:left="1440"/>
      </w:pPr>
      <w:r w:rsidRPr="00305967">
        <w:t>Publish the applicable public notice (</w:t>
      </w:r>
      <w:proofErr w:type="spellStart"/>
      <w:r w:rsidRPr="00305967">
        <w:t>i.e</w:t>
      </w:r>
      <w:proofErr w:type="spellEnd"/>
      <w:r w:rsidRPr="00305967">
        <w:t xml:space="preserve">, </w:t>
      </w:r>
      <w:r w:rsidRPr="00305967">
        <w:rPr>
          <w:i/>
        </w:rPr>
        <w:t>NOI/RROF</w:t>
      </w:r>
      <w:r w:rsidRPr="00305967">
        <w:t xml:space="preserve"> or Combined </w:t>
      </w:r>
      <w:r w:rsidRPr="00305967">
        <w:rPr>
          <w:i/>
        </w:rPr>
        <w:t>FONSI/NOI-RROF</w:t>
      </w:r>
      <w:r w:rsidR="00177133">
        <w:rPr>
          <w:iCs/>
        </w:rPr>
        <w:t>); and</w:t>
      </w:r>
    </w:p>
    <w:p w14:paraId="2341C92E" w14:textId="39D06219" w:rsidR="00240B19" w:rsidRPr="00305967" w:rsidRDefault="00240B19" w:rsidP="004604E6">
      <w:pPr>
        <w:pStyle w:val="Bullet2"/>
        <w:ind w:left="1440"/>
      </w:pPr>
      <w:r w:rsidRPr="00305967">
        <w:t xml:space="preserve">Submit a </w:t>
      </w:r>
      <w:r w:rsidRPr="00305967">
        <w:rPr>
          <w:i/>
        </w:rPr>
        <w:t>Request for Release of Funds and Certification</w:t>
      </w:r>
      <w:r w:rsidRPr="00305967">
        <w:t xml:space="preserve"> and complete copy of the ERR to </w:t>
      </w:r>
      <w:r w:rsidR="00E327B5">
        <w:t>the State,</w:t>
      </w:r>
      <w:r w:rsidR="00177133">
        <w:t xml:space="preserve"> </w:t>
      </w:r>
      <w:r w:rsidRPr="00305967">
        <w:t>with a request for a written determination of consistency with 24 CFR Part 58 requirements</w:t>
      </w:r>
      <w:r w:rsidR="00177133">
        <w:t xml:space="preserve">. </w:t>
      </w:r>
    </w:p>
    <w:p w14:paraId="2DCFB311" w14:textId="05FAAE25" w:rsidR="00240B19" w:rsidRPr="00305967" w:rsidRDefault="00240B19" w:rsidP="00177133">
      <w:pPr>
        <w:pStyle w:val="Bullet10"/>
      </w:pPr>
      <w:r>
        <w:t xml:space="preserve">Upon receipt and review of the </w:t>
      </w:r>
      <w:r w:rsidR="008A16E5">
        <w:t>ERR</w:t>
      </w:r>
      <w:r>
        <w:t xml:space="preserve">, </w:t>
      </w:r>
      <w:r w:rsidR="00E327B5">
        <w:t>the State</w:t>
      </w:r>
      <w:r w:rsidR="008A16E5">
        <w:t xml:space="preserve"> </w:t>
      </w:r>
      <w:r>
        <w:t>will</w:t>
      </w:r>
      <w:r w:rsidR="00C536F7">
        <w:t xml:space="preserve"> either</w:t>
      </w:r>
      <w:r>
        <w:t>:</w:t>
      </w:r>
    </w:p>
    <w:p w14:paraId="14156659" w14:textId="77777777" w:rsidR="00240B19" w:rsidRPr="00C661A9" w:rsidRDefault="00240B19" w:rsidP="004604E6">
      <w:pPr>
        <w:pStyle w:val="Bullet2"/>
        <w:ind w:left="1440"/>
      </w:pPr>
      <w:r w:rsidRPr="00C661A9">
        <w:t>Issue a determination that the ERR meets HUD environmental requirements and is substantially equivalent; or</w:t>
      </w:r>
    </w:p>
    <w:p w14:paraId="0C8644AE" w14:textId="7184208B" w:rsidR="00BC7719" w:rsidRDefault="00240B19" w:rsidP="004604E6">
      <w:pPr>
        <w:pStyle w:val="Bullet2"/>
        <w:ind w:left="1440"/>
      </w:pPr>
      <w:r w:rsidRPr="00C661A9">
        <w:t>Require additional review and public notices, as appropriate.</w:t>
      </w:r>
    </w:p>
    <w:p w14:paraId="124F65CA" w14:textId="77777777" w:rsidR="00BC7719" w:rsidRDefault="00BC7719" w:rsidP="004604E6">
      <w:pPr>
        <w:pStyle w:val="Bullet2"/>
        <w:numPr>
          <w:ilvl w:val="0"/>
          <w:numId w:val="0"/>
        </w:numPr>
      </w:pPr>
    </w:p>
    <w:p w14:paraId="6514FF56" w14:textId="7CF7877F" w:rsidR="00BC7719" w:rsidRPr="00332ABB" w:rsidRDefault="00E50690" w:rsidP="004604E6">
      <w:pPr>
        <w:pStyle w:val="Heading3"/>
        <w:jc w:val="both"/>
        <w:rPr>
          <w:rFonts w:cs="Tahoma"/>
        </w:rPr>
      </w:pPr>
      <w:r w:rsidRPr="00332ABB">
        <w:rPr>
          <w:rFonts w:cs="Tahoma"/>
        </w:rPr>
        <w:t>C</w:t>
      </w:r>
      <w:r w:rsidR="00795F7A" w:rsidRPr="00332ABB">
        <w:rPr>
          <w:rFonts w:cs="Tahoma"/>
        </w:rPr>
        <w:t>o</w:t>
      </w:r>
      <w:r w:rsidRPr="00332ABB">
        <w:rPr>
          <w:rFonts w:cs="Tahoma"/>
        </w:rPr>
        <w:t>nducting</w:t>
      </w:r>
      <w:r w:rsidR="00795F7A" w:rsidRPr="00332ABB">
        <w:rPr>
          <w:rFonts w:cs="Tahoma"/>
        </w:rPr>
        <w:t xml:space="preserve"> Environmental</w:t>
      </w:r>
      <w:r w:rsidRPr="00332ABB">
        <w:rPr>
          <w:rFonts w:cs="Tahoma"/>
        </w:rPr>
        <w:t xml:space="preserve"> </w:t>
      </w:r>
      <w:r w:rsidR="00795F7A" w:rsidRPr="00332ABB">
        <w:rPr>
          <w:rFonts w:cs="Tahoma"/>
        </w:rPr>
        <w:t>Reviews for Projects with Unspecified Sites (</w:t>
      </w:r>
      <w:r w:rsidR="00A27F88" w:rsidRPr="00332ABB">
        <w:rPr>
          <w:rFonts w:cs="Tahoma"/>
        </w:rPr>
        <w:t>Tiering</w:t>
      </w:r>
      <w:r w:rsidR="00795F7A" w:rsidRPr="00332ABB">
        <w:rPr>
          <w:rFonts w:cs="Tahoma"/>
        </w:rPr>
        <w:t>)</w:t>
      </w:r>
    </w:p>
    <w:p w14:paraId="6E8B355B" w14:textId="3F160CF8" w:rsidR="00A27F88" w:rsidRDefault="00795F7A" w:rsidP="00332ABB">
      <w:pPr>
        <w:jc w:val="both"/>
        <w:rPr>
          <w:rFonts w:ascii="Tahoma" w:hAnsi="Tahoma" w:cs="Tahoma"/>
        </w:rPr>
      </w:pPr>
      <w:r w:rsidRPr="004604E6">
        <w:rPr>
          <w:rFonts w:ascii="Tahoma" w:hAnsi="Tahoma" w:cs="Tahoma"/>
        </w:rPr>
        <w:t xml:space="preserve">There are times where it is not possible, because of the nature of the activities to be carried out, to identify on the front end the exact geographic location of the activities to be completed. </w:t>
      </w:r>
      <w:r w:rsidR="00A27F88" w:rsidRPr="004604E6">
        <w:rPr>
          <w:rFonts w:ascii="Tahoma" w:hAnsi="Tahoma" w:cs="Tahoma"/>
        </w:rPr>
        <w:t xml:space="preserve">Grantees may tier their environmental reviews and assessments </w:t>
      </w:r>
      <w:proofErr w:type="gramStart"/>
      <w:r w:rsidR="00A27F88" w:rsidRPr="004604E6">
        <w:rPr>
          <w:rFonts w:ascii="Tahoma" w:hAnsi="Tahoma" w:cs="Tahoma"/>
        </w:rPr>
        <w:t>in order to</w:t>
      </w:r>
      <w:proofErr w:type="gramEnd"/>
      <w:r w:rsidR="00A27F88" w:rsidRPr="004604E6">
        <w:rPr>
          <w:rFonts w:ascii="Tahoma" w:hAnsi="Tahoma" w:cs="Tahoma"/>
        </w:rPr>
        <w:t xml:space="preserve"> eliminate repetitive discussions of the same issues at subsequent levels of review. Tiering is appropriate when there is a requirement to evaluate a policy or proposal in the early stages of development or when site-specific analysis or mitigation is not currently </w:t>
      </w:r>
      <w:proofErr w:type="gramStart"/>
      <w:r w:rsidR="00A27F88" w:rsidRPr="004604E6">
        <w:rPr>
          <w:rFonts w:ascii="Tahoma" w:hAnsi="Tahoma" w:cs="Tahoma"/>
        </w:rPr>
        <w:t>feasible</w:t>
      </w:r>
      <w:proofErr w:type="gramEnd"/>
      <w:r w:rsidR="00A27F88" w:rsidRPr="004604E6">
        <w:rPr>
          <w:rFonts w:ascii="Tahoma" w:hAnsi="Tahoma" w:cs="Tahoma"/>
        </w:rPr>
        <w:t xml:space="preserve"> and a more narrow or focused analysis is better done at a later date</w:t>
      </w:r>
      <w:r w:rsidR="00543938" w:rsidRPr="004604E6">
        <w:rPr>
          <w:rFonts w:ascii="Tahoma" w:hAnsi="Tahoma" w:cs="Tahoma"/>
        </w:rPr>
        <w:t>.</w:t>
      </w:r>
      <w:r w:rsidRPr="004604E6">
        <w:rPr>
          <w:rFonts w:ascii="Tahoma" w:hAnsi="Tahoma" w:cs="Tahoma"/>
        </w:rPr>
        <w:t xml:space="preserve"> An example of this may be a phased downtown streetscape program. Tiering is discussed in more detail in </w:t>
      </w:r>
      <w:hyperlink w:anchor="_Appendix_A" w:history="1">
        <w:r w:rsidRPr="004604E6">
          <w:rPr>
            <w:rStyle w:val="Hyperlink"/>
            <w:rFonts w:ascii="Tahoma" w:hAnsi="Tahoma" w:cs="Tahoma"/>
          </w:rPr>
          <w:t>Appendix A</w:t>
        </w:r>
      </w:hyperlink>
      <w:r w:rsidR="002D6DED">
        <w:rPr>
          <w:rFonts w:ascii="Tahoma" w:hAnsi="Tahoma" w:cs="Tahoma"/>
        </w:rPr>
        <w:t>.</w:t>
      </w:r>
    </w:p>
    <w:p w14:paraId="1B27C55F" w14:textId="77777777" w:rsidR="008F18D0" w:rsidRDefault="008F18D0" w:rsidP="00332ABB">
      <w:pPr>
        <w:jc w:val="both"/>
        <w:rPr>
          <w:rFonts w:ascii="Tahoma" w:hAnsi="Tahoma" w:cs="Tahoma"/>
        </w:rPr>
      </w:pPr>
    </w:p>
    <w:p w14:paraId="7B7E166A" w14:textId="77777777" w:rsidR="008F18D0" w:rsidRDefault="008F18D0" w:rsidP="008F18D0">
      <w:pPr>
        <w:pStyle w:val="Heading2"/>
      </w:pPr>
      <w:r>
        <w:t>Section 7 – Re-evaluation of Review Findings</w:t>
      </w:r>
    </w:p>
    <w:p w14:paraId="2F2EE6DB" w14:textId="27A968AF" w:rsidR="008F18D0" w:rsidRPr="003816E6" w:rsidRDefault="008F18D0" w:rsidP="008F18D0">
      <w:pPr>
        <w:pStyle w:val="Normal1"/>
      </w:pPr>
      <w:r>
        <w:t xml:space="preserve">If the size or scope of the CDBG project changes </w:t>
      </w:r>
      <w:r w:rsidRPr="003816E6">
        <w:t>significantly</w:t>
      </w:r>
      <w:r>
        <w:t>,</w:t>
      </w:r>
      <w:r w:rsidRPr="003816E6">
        <w:t xml:space="preserve"> or if the location changes, the recipient must reassess the project's environmental impact and update </w:t>
      </w:r>
      <w:r w:rsidRPr="003816E6">
        <w:lastRenderedPageBreak/>
        <w:t xml:space="preserve">the ERR. The purpose of the re-evaluation is to determine if the original </w:t>
      </w:r>
      <w:r w:rsidRPr="00305967">
        <w:rPr>
          <w:noProof/>
        </w:rPr>
        <mc:AlternateContent>
          <mc:Choice Requires="wps">
            <w:drawing>
              <wp:anchor distT="0" distB="0" distL="114300" distR="114300" simplePos="0" relativeHeight="251670528" behindDoc="1" locked="0" layoutInCell="1" allowOverlap="1" wp14:anchorId="41A9E884" wp14:editId="3972F1D5">
                <wp:simplePos x="0" y="0"/>
                <wp:positionH relativeFrom="column">
                  <wp:posOffset>3641725</wp:posOffset>
                </wp:positionH>
                <wp:positionV relativeFrom="paragraph">
                  <wp:posOffset>31115</wp:posOffset>
                </wp:positionV>
                <wp:extent cx="2122170" cy="2067560"/>
                <wp:effectExtent l="12700" t="12065" r="93980" b="92075"/>
                <wp:wrapTight wrapText="left">
                  <wp:wrapPolygon edited="0">
                    <wp:start x="-97" y="-73"/>
                    <wp:lineTo x="-97" y="21673"/>
                    <wp:lineTo x="472" y="22197"/>
                    <wp:lineTo x="22447" y="22197"/>
                    <wp:lineTo x="22447" y="524"/>
                    <wp:lineTo x="21787" y="-73"/>
                    <wp:lineTo x="-97" y="-73"/>
                  </wp:wrapPolygon>
                </wp:wrapTight>
                <wp:docPr id="47128670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206756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31361D29" w14:textId="77777777" w:rsidR="00836732" w:rsidRDefault="00836732" w:rsidP="008F18D0">
                            <w:pPr>
                              <w:pStyle w:val="Normal1"/>
                              <w:jc w:val="left"/>
                            </w:pPr>
                            <w:r w:rsidRPr="004604E6">
                              <w:rPr>
                                <w:b/>
                                <w:bCs/>
                              </w:rPr>
                              <w:t xml:space="preserve">If the recipient determines that the original </w:t>
                            </w:r>
                            <w:r w:rsidRPr="004604E6">
                              <w:rPr>
                                <w:b/>
                                <w:bCs/>
                                <w:i/>
                              </w:rPr>
                              <w:t>Finding of No Significant Impact</w:t>
                            </w:r>
                            <w:r w:rsidRPr="004604E6">
                              <w:rPr>
                                <w:b/>
                                <w:bCs/>
                              </w:rPr>
                              <w:t xml:space="preserve"> is no longer valid</w:t>
                            </w:r>
                            <w:r>
                              <w:t>, the recipient must notify the State and prepare a new Environmental Assessment according to the procedures specified in Section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9E884" id="Text Box 27" o:spid="_x0000_s1032" type="#_x0000_t202" style="position:absolute;left:0;text-align:left;margin-left:286.75pt;margin-top:2.45pt;width:167.1pt;height:16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" strokeweight="1.5pt">
                <v:shadow on="t" offset="6pt,6pt"/>
                <v:textbox>
                  <w:txbxContent>
                    <w:p w14:paraId="31361D29" w14:textId="77777777" w:rsidR="00836732" w:rsidRDefault="00836732" w:rsidP="008F18D0">
                      <w:pPr>
                        <w:pStyle w:val="Normal1"/>
                        <w:jc w:val="left"/>
                      </w:pPr>
                      <w:r w:rsidRPr="004604E6">
                        <w:rPr>
                          <w:b/>
                          <w:bCs/>
                        </w:rPr>
                        <w:t xml:space="preserve">If the recipient determines that the original </w:t>
                      </w:r>
                      <w:r w:rsidRPr="004604E6">
                        <w:rPr>
                          <w:b/>
                          <w:bCs/>
                          <w:i/>
                        </w:rPr>
                        <w:t>Finding of No Significant Impact</w:t>
                      </w:r>
                      <w:r w:rsidRPr="004604E6">
                        <w:rPr>
                          <w:b/>
                          <w:bCs/>
                        </w:rPr>
                        <w:t xml:space="preserve"> is no longer valid</w:t>
                      </w:r>
                      <w:r>
                        <w:t>, the recipient must notify the State and prepare a new Environmental Assessment according to the procedures specified in Section 2.</w:t>
                      </w:r>
                    </w:p>
                  </w:txbxContent>
                </v:textbox>
                <w10:wrap type="tight" side="left"/>
              </v:shape>
            </w:pict>
          </mc:Fallback>
        </mc:AlternateContent>
      </w:r>
      <w:r w:rsidRPr="003816E6">
        <w:t>environmental finding is still valid.</w:t>
      </w:r>
      <w:r>
        <w:t xml:space="preserve"> Generally, the original ERR is considered valid for five years unless conditions have changed.</w:t>
      </w:r>
    </w:p>
    <w:p w14:paraId="355B2D43" w14:textId="77777777" w:rsidR="008F18D0" w:rsidRPr="003816E6" w:rsidRDefault="008F18D0" w:rsidP="008F18D0">
      <w:pPr>
        <w:pStyle w:val="Bullet10"/>
        <w:spacing w:after="60"/>
      </w:pPr>
      <w:r>
        <w:t xml:space="preserve">Recipient must re-evaluate its assessment findings in any of the following situations: </w:t>
      </w:r>
    </w:p>
    <w:p w14:paraId="05E424AE" w14:textId="1362C351" w:rsidR="008F18D0" w:rsidRPr="00C661A9" w:rsidRDefault="008F18D0" w:rsidP="008F18D0">
      <w:pPr>
        <w:pStyle w:val="Bullet2"/>
        <w:numPr>
          <w:ilvl w:val="1"/>
          <w:numId w:val="10"/>
        </w:numPr>
      </w:pPr>
      <w:r>
        <w:t xml:space="preserve">There is change of location or a substantial change or amendment in the nature, magnitude, or extent of a project, including adding new activities not covered in the original project </w:t>
      </w:r>
      <w:proofErr w:type="gramStart"/>
      <w:r>
        <w:t>scope</w:t>
      </w:r>
      <w:r w:rsidR="007C5DBD">
        <w:t>;</w:t>
      </w:r>
      <w:proofErr w:type="gramEnd"/>
    </w:p>
    <w:p w14:paraId="1C5FE9AD" w14:textId="65F79291" w:rsidR="008F18D0" w:rsidRPr="00C661A9" w:rsidRDefault="008F18D0" w:rsidP="008F18D0">
      <w:pPr>
        <w:pStyle w:val="Bullet2"/>
        <w:numPr>
          <w:ilvl w:val="1"/>
          <w:numId w:val="10"/>
        </w:numPr>
      </w:pPr>
      <w:r>
        <w:t>There are new circumstances and environmental conditions that may affect the project or have a bearing on its impact or activity that is proposed to be continued</w:t>
      </w:r>
      <w:r w:rsidR="007C5DBD">
        <w:t>; and/or</w:t>
      </w:r>
    </w:p>
    <w:p w14:paraId="269449BF" w14:textId="77777777" w:rsidR="008F18D0" w:rsidRPr="00C661A9" w:rsidRDefault="008F18D0" w:rsidP="008F18D0">
      <w:pPr>
        <w:pStyle w:val="Bullet2"/>
        <w:numPr>
          <w:ilvl w:val="1"/>
          <w:numId w:val="10"/>
        </w:numPr>
      </w:pPr>
      <w:r>
        <w:t>The recipient selects an alternative approach not considered in the original assessment.</w:t>
      </w:r>
    </w:p>
    <w:p w14:paraId="21DDEB32" w14:textId="77777777" w:rsidR="008F18D0" w:rsidRPr="00305967" w:rsidRDefault="008F18D0" w:rsidP="008F18D0">
      <w:pPr>
        <w:pStyle w:val="Bullet10"/>
        <w:spacing w:after="60"/>
      </w:pPr>
      <w:r>
        <w:t xml:space="preserve">If the findings of the </w:t>
      </w:r>
      <w:r w:rsidRPr="2FBB6E41">
        <w:rPr>
          <w:i/>
          <w:iCs/>
        </w:rPr>
        <w:t>Environmental Review for Project that is</w:t>
      </w:r>
      <w:r>
        <w:t xml:space="preserve"> </w:t>
      </w:r>
      <w:r w:rsidRPr="2FBB6E41">
        <w:rPr>
          <w:i/>
          <w:iCs/>
        </w:rPr>
        <w:t>Categorically Excluded</w:t>
      </w:r>
      <w:r>
        <w:t xml:space="preserve"> or the FONSI determination are still valid, but data or conditions upon which it was based have changed, the recipient must complete the following: </w:t>
      </w:r>
    </w:p>
    <w:p w14:paraId="5994A997" w14:textId="77777777" w:rsidR="008F18D0" w:rsidRDefault="008F18D0" w:rsidP="008F18D0">
      <w:pPr>
        <w:pStyle w:val="Bullet2"/>
        <w:ind w:left="1440"/>
      </w:pPr>
      <w:r>
        <w:t xml:space="preserve">Amend its original review and update its ERR by including the re-evaluation and determination based on its findings:  </w:t>
      </w:r>
    </w:p>
    <w:p w14:paraId="58780B3D" w14:textId="0D306A3E" w:rsidR="007C5DBD" w:rsidRDefault="008F18D0" w:rsidP="000D07E1">
      <w:pPr>
        <w:pStyle w:val="Bullet3"/>
        <w:numPr>
          <w:ilvl w:val="1"/>
          <w:numId w:val="17"/>
        </w:numPr>
      </w:pPr>
      <w:r>
        <w:t>The narrative or a memorandum to ERR should clearly describe the project and indicate what changes are being made.  Include narrative and maps identifying the original and revised project, as applicable</w:t>
      </w:r>
      <w:r w:rsidR="007C5DBD">
        <w:t>;</w:t>
      </w:r>
    </w:p>
    <w:p w14:paraId="5F3B74FE" w14:textId="4003A0AF" w:rsidR="007C5DBD" w:rsidRDefault="008F18D0" w:rsidP="000D07E1">
      <w:pPr>
        <w:pStyle w:val="Bullet3"/>
        <w:numPr>
          <w:ilvl w:val="1"/>
          <w:numId w:val="17"/>
        </w:numPr>
      </w:pPr>
      <w:r>
        <w:t>Provide the date the original review was completed and</w:t>
      </w:r>
      <w:r w:rsidR="00C02558">
        <w:t xml:space="preserve"> funds were released or</w:t>
      </w:r>
      <w:r>
        <w:t xml:space="preserve"> whether </w:t>
      </w:r>
      <w:r w:rsidR="006F5534">
        <w:t>the</w:t>
      </w:r>
      <w:r w:rsidR="003E56DE">
        <w:t xml:space="preserve"> project</w:t>
      </w:r>
      <w:r>
        <w:t xml:space="preserve"> converted to exemp</w:t>
      </w:r>
      <w:r w:rsidR="003E56DE">
        <w:t>t</w:t>
      </w:r>
      <w:r w:rsidR="007C5DBD">
        <w:t>;</w:t>
      </w:r>
    </w:p>
    <w:p w14:paraId="3B72D333" w14:textId="5BD815A0" w:rsidR="007C5DBD" w:rsidRDefault="008F18D0" w:rsidP="000D07E1">
      <w:pPr>
        <w:pStyle w:val="Bullet3"/>
        <w:numPr>
          <w:ilvl w:val="1"/>
          <w:numId w:val="17"/>
        </w:numPr>
      </w:pPr>
      <w:r>
        <w:t>Identify and discuss the environmental compliance issues (including other requirements at Section 58.6) being affected by the changes and the findings and conclusions reached, with documentation that supports the findings/conclusions. This is best documented via the Environmental Review, depending on the level of review</w:t>
      </w:r>
      <w:r w:rsidR="007C5DBD">
        <w:t>;</w:t>
      </w:r>
    </w:p>
    <w:p w14:paraId="53FE1396" w14:textId="4EB4CAF6" w:rsidR="007C5DBD" w:rsidRDefault="008F18D0" w:rsidP="000D07E1">
      <w:pPr>
        <w:pStyle w:val="Bullet3"/>
        <w:numPr>
          <w:ilvl w:val="1"/>
          <w:numId w:val="17"/>
        </w:numPr>
      </w:pPr>
      <w:r>
        <w:t>Identify any necessary mitigation measures and how they will be incorporated into the project</w:t>
      </w:r>
      <w:r w:rsidR="007C5DBD">
        <w:t>; and</w:t>
      </w:r>
    </w:p>
    <w:p w14:paraId="069B54AE" w14:textId="57B19DC3" w:rsidR="008F18D0" w:rsidRPr="00C661A9" w:rsidRDefault="008F18D0" w:rsidP="000D07E1">
      <w:pPr>
        <w:pStyle w:val="Bullet3"/>
        <w:numPr>
          <w:ilvl w:val="1"/>
          <w:numId w:val="17"/>
        </w:numPr>
      </w:pPr>
      <w:r>
        <w:t>Document whether the original findings are still valid. If they are not, contact the State.</w:t>
      </w:r>
    </w:p>
    <w:p w14:paraId="100C5BC6" w14:textId="77777777" w:rsidR="008F18D0" w:rsidRPr="00C661A9" w:rsidRDefault="008F18D0" w:rsidP="008F18D0">
      <w:pPr>
        <w:pStyle w:val="Bullet2"/>
        <w:ind w:left="1440"/>
      </w:pPr>
      <w:r>
        <w:lastRenderedPageBreak/>
        <w:t xml:space="preserve">If the FONSI determination is still valid, complete an Affirmation of Original Environmental Determination. A copy can be found in the attachments section.  </w:t>
      </w:r>
    </w:p>
    <w:p w14:paraId="45297620" w14:textId="77777777" w:rsidR="008F18D0" w:rsidRPr="00305967" w:rsidRDefault="008F18D0" w:rsidP="008F18D0">
      <w:pPr>
        <w:pStyle w:val="Bullet10"/>
        <w:spacing w:after="60"/>
      </w:pPr>
      <w:r>
        <w:t>Copies of all documentation generated through the re-evaluation process must be submitted to the State.</w:t>
      </w:r>
    </w:p>
    <w:p w14:paraId="62A57021" w14:textId="77777777" w:rsidR="008F18D0" w:rsidRDefault="008F18D0" w:rsidP="008F18D0">
      <w:pPr>
        <w:pStyle w:val="Bullet10"/>
        <w:spacing w:after="60"/>
      </w:pPr>
      <w:r>
        <w:t>Funds cannot be released unless the new decision is appropriately documented and reported.</w:t>
      </w:r>
    </w:p>
    <w:p w14:paraId="7FCB9F44" w14:textId="77777777" w:rsidR="008F18D0" w:rsidRDefault="008F18D0" w:rsidP="008F18D0">
      <w:pPr>
        <w:pStyle w:val="Bullet10"/>
        <w:numPr>
          <w:ilvl w:val="0"/>
          <w:numId w:val="0"/>
        </w:numPr>
        <w:spacing w:after="60"/>
      </w:pPr>
      <w:r>
        <w:t>If the original findings cannot be affirmed, a new environmental review must be undertaken.</w:t>
      </w:r>
    </w:p>
    <w:p w14:paraId="20001A7A" w14:textId="47A1A070" w:rsidR="00CF7813" w:rsidRDefault="00CF7813">
      <w:pPr>
        <w:spacing w:before="0" w:after="0"/>
        <w:rPr>
          <w:rFonts w:ascii="Tahoma" w:hAnsi="Tahoma" w:cs="Tahoma"/>
        </w:rPr>
      </w:pPr>
      <w:r>
        <w:rPr>
          <w:rFonts w:ascii="Tahoma" w:hAnsi="Tahoma" w:cs="Tahoma"/>
        </w:rPr>
        <w:br w:type="page"/>
      </w:r>
    </w:p>
    <w:p w14:paraId="6F009C4B" w14:textId="77777777" w:rsidR="00D0721B" w:rsidRDefault="00D0721B" w:rsidP="00D0721B">
      <w:pPr>
        <w:pStyle w:val="Heading2"/>
        <w:spacing w:line="288" w:lineRule="auto"/>
      </w:pPr>
      <w:bookmarkStart w:id="18" w:name="_Section_7_–"/>
      <w:bookmarkEnd w:id="18"/>
      <w:r>
        <w:lastRenderedPageBreak/>
        <w:t xml:space="preserve">Chapter 2: Environmental Requirements </w:t>
      </w:r>
      <w:r>
        <w:br/>
        <w:t>Attachments</w:t>
      </w:r>
    </w:p>
    <w:p w14:paraId="0578E1A9" w14:textId="77777777" w:rsidR="00D0721B" w:rsidRPr="00FC7F72" w:rsidRDefault="00D0721B" w:rsidP="00D0721B">
      <w:pPr>
        <w:pStyle w:val="Normal1"/>
        <w:rPr>
          <w:b/>
        </w:rPr>
      </w:pPr>
      <w:bookmarkStart w:id="19" w:name="Env_Forms"/>
      <w:r w:rsidRPr="00FC7F72">
        <w:rPr>
          <w:b/>
        </w:rPr>
        <w:t>Environmental Review Forms</w:t>
      </w:r>
    </w:p>
    <w:bookmarkEnd w:id="19"/>
    <w:p w14:paraId="0975BFFA" w14:textId="3A6EC509" w:rsidR="00D0721B" w:rsidRDefault="00C35905" w:rsidP="00D0721B">
      <w:pPr>
        <w:pStyle w:val="Normal1"/>
        <w:numPr>
          <w:ilvl w:val="0"/>
          <w:numId w:val="14"/>
        </w:numPr>
        <w:spacing w:before="60" w:after="60"/>
      </w:pPr>
      <w:r>
        <w:fldChar w:fldCharType="begin"/>
      </w:r>
      <w:r>
        <w:instrText>HYPERLINK "https://www.cdbgsc.com/wp-content/uploads/2023/01/Environmental-Assessment-update-01.20.2023.docx"</w:instrText>
      </w:r>
      <w:r>
        <w:fldChar w:fldCharType="separate"/>
      </w:r>
      <w:r w:rsidR="00D0721B" w:rsidRPr="00C35905">
        <w:rPr>
          <w:rStyle w:val="Hyperlink"/>
        </w:rPr>
        <w:t>Environmental Assessment</w:t>
      </w:r>
      <w:r>
        <w:fldChar w:fldCharType="end"/>
      </w:r>
    </w:p>
    <w:bookmarkStart w:id="20" w:name="Doc_of_Source_ER"/>
    <w:p w14:paraId="05529A6A" w14:textId="04AED4FA" w:rsidR="00D0721B" w:rsidRPr="009E264A" w:rsidRDefault="00D10339" w:rsidP="00D0721B">
      <w:pPr>
        <w:pStyle w:val="Normal1"/>
        <w:numPr>
          <w:ilvl w:val="0"/>
          <w:numId w:val="14"/>
        </w:numPr>
        <w:spacing w:before="60" w:after="60"/>
        <w:jc w:val="left"/>
      </w:pPr>
      <w:r>
        <w:rPr>
          <w:lang w:val="fr-FR"/>
        </w:rPr>
        <w:fldChar w:fldCharType="begin"/>
      </w:r>
      <w:r>
        <w:rPr>
          <w:lang w:val="fr-FR"/>
        </w:rPr>
        <w:instrText>HYPERLINK "https://www.cdbgsc.com/wp-content/uploads/2022/10/Environmental-Documentation-Sources-September-2022.docx"</w:instrText>
      </w:r>
      <w:r>
        <w:rPr>
          <w:lang w:val="fr-FR"/>
        </w:rPr>
      </w:r>
      <w:r>
        <w:rPr>
          <w:lang w:val="fr-FR"/>
        </w:rPr>
        <w:fldChar w:fldCharType="separate"/>
      </w:r>
      <w:proofErr w:type="spellStart"/>
      <w:r w:rsidR="00D0721B" w:rsidRPr="00D10339">
        <w:rPr>
          <w:rStyle w:val="Hyperlink"/>
          <w:lang w:val="fr-FR"/>
        </w:rPr>
        <w:t>Environmental</w:t>
      </w:r>
      <w:proofErr w:type="spellEnd"/>
      <w:r w:rsidR="00D0721B" w:rsidRPr="00D10339">
        <w:rPr>
          <w:rStyle w:val="Hyperlink"/>
          <w:lang w:val="fr-FR"/>
        </w:rPr>
        <w:t xml:space="preserve"> </w:t>
      </w:r>
      <w:proofErr w:type="spellStart"/>
      <w:r w:rsidR="00D0721B" w:rsidRPr="00D10339">
        <w:rPr>
          <w:rStyle w:val="Hyperlink"/>
          <w:lang w:val="fr-FR"/>
        </w:rPr>
        <w:t>Assessment</w:t>
      </w:r>
      <w:proofErr w:type="spellEnd"/>
      <w:r w:rsidR="00D0721B" w:rsidRPr="00D10339">
        <w:rPr>
          <w:rStyle w:val="Hyperlink"/>
          <w:lang w:val="fr-FR"/>
        </w:rPr>
        <w:t xml:space="preserve"> « Documentation of Sources »</w:t>
      </w:r>
      <w:r>
        <w:rPr>
          <w:lang w:val="fr-FR"/>
        </w:rPr>
        <w:fldChar w:fldCharType="end"/>
      </w:r>
    </w:p>
    <w:bookmarkStart w:id="21" w:name="CEST_Form"/>
    <w:bookmarkEnd w:id="20"/>
    <w:p w14:paraId="4CFA77A6" w14:textId="7124AE0C" w:rsidR="00D0721B" w:rsidRDefault="008A6D5D" w:rsidP="00D0721B">
      <w:pPr>
        <w:pStyle w:val="Normal1"/>
        <w:numPr>
          <w:ilvl w:val="0"/>
          <w:numId w:val="14"/>
        </w:numPr>
        <w:spacing w:before="60" w:after="60"/>
        <w:jc w:val="left"/>
      </w:pPr>
      <w:r>
        <w:fldChar w:fldCharType="begin"/>
      </w:r>
      <w:r>
        <w:instrText>HYPERLINK "https://www.cdbgsc.com/wp-content/uploads/2020/09/Part-58-CEST-Format-as-of-9-2020.docx"</w:instrText>
      </w:r>
      <w:r>
        <w:fldChar w:fldCharType="separate"/>
      </w:r>
      <w:r w:rsidR="00D0721B" w:rsidRPr="008A6D5D">
        <w:rPr>
          <w:rStyle w:val="Hyperlink"/>
        </w:rPr>
        <w:t xml:space="preserve">Environmental Review for Projects that are Categorically Excluded Subject to 58.5 (CEST) </w:t>
      </w:r>
      <w:r>
        <w:fldChar w:fldCharType="end"/>
      </w:r>
      <w:r w:rsidR="00D0721B">
        <w:t xml:space="preserve"> </w:t>
      </w:r>
    </w:p>
    <w:bookmarkStart w:id="22" w:name="CENST_Form"/>
    <w:bookmarkEnd w:id="21"/>
    <w:p w14:paraId="3FCCFC69" w14:textId="158DA09A" w:rsidR="00D0721B" w:rsidRDefault="008A6D5D" w:rsidP="00D0721B">
      <w:pPr>
        <w:pStyle w:val="Normal1"/>
        <w:numPr>
          <w:ilvl w:val="0"/>
          <w:numId w:val="14"/>
        </w:numPr>
        <w:spacing w:before="60" w:after="60"/>
      </w:pPr>
      <w:r>
        <w:fldChar w:fldCharType="begin"/>
      </w:r>
      <w:r>
        <w:instrText>HYPERLINK "https://www.cdbgsc.com/wp-content/uploads/2018/11/Part-58-Exempt-CENST-as-of-10-14.docx"</w:instrText>
      </w:r>
      <w:r>
        <w:fldChar w:fldCharType="separate"/>
      </w:r>
      <w:r w:rsidR="00D0721B" w:rsidRPr="008A6D5D">
        <w:rPr>
          <w:rStyle w:val="Hyperlink"/>
        </w:rPr>
        <w:t>Environmental Review for Project that is Exempt or Categorically Excluded Not Subject to Section 58.5 (CENST)</w:t>
      </w:r>
      <w:r>
        <w:fldChar w:fldCharType="end"/>
      </w:r>
      <w:r w:rsidR="00D0721B">
        <w:t xml:space="preserve"> </w:t>
      </w:r>
    </w:p>
    <w:bookmarkEnd w:id="22"/>
    <w:p w14:paraId="35FC3192" w14:textId="0387A219" w:rsidR="00D0721B" w:rsidRPr="003B5714" w:rsidRDefault="001B336C" w:rsidP="00D0721B">
      <w:pPr>
        <w:pStyle w:val="Normal1"/>
        <w:numPr>
          <w:ilvl w:val="0"/>
          <w:numId w:val="14"/>
        </w:numPr>
        <w:spacing w:before="60" w:after="60"/>
      </w:pPr>
      <w:r>
        <w:fldChar w:fldCharType="begin"/>
      </w:r>
      <w:r>
        <w:instrText>HYPERLINK "https://www.cdbgsc.com/wp-content/uploads/2018/11/Affirmation-of-Original-Environmental-Determination-10-14.docx"</w:instrText>
      </w:r>
      <w:r>
        <w:fldChar w:fldCharType="separate"/>
      </w:r>
      <w:r w:rsidR="00D0721B" w:rsidRPr="001B336C">
        <w:rPr>
          <w:rStyle w:val="Hyperlink"/>
        </w:rPr>
        <w:t>Affirmation of Original Environmental Determination</w:t>
      </w:r>
      <w:r>
        <w:fldChar w:fldCharType="end"/>
      </w:r>
      <w:r w:rsidR="00D0721B" w:rsidRPr="003B5714">
        <w:t xml:space="preserve"> </w:t>
      </w:r>
    </w:p>
    <w:p w14:paraId="27067752" w14:textId="77777777" w:rsidR="00D0721B" w:rsidRDefault="00D0721B" w:rsidP="00D0721B">
      <w:pPr>
        <w:pStyle w:val="Normal1"/>
        <w:spacing w:before="240"/>
        <w:rPr>
          <w:b/>
        </w:rPr>
      </w:pPr>
      <w:r w:rsidRPr="003B5714">
        <w:rPr>
          <w:b/>
        </w:rPr>
        <w:t>Environmental Review Documentation</w:t>
      </w:r>
    </w:p>
    <w:p w14:paraId="3E1C50FE" w14:textId="77777777" w:rsidR="00D0721B" w:rsidRPr="00FC7F72" w:rsidRDefault="00D0721B" w:rsidP="00D0721B">
      <w:pPr>
        <w:pStyle w:val="Normal1"/>
        <w:numPr>
          <w:ilvl w:val="0"/>
          <w:numId w:val="11"/>
        </w:numPr>
        <w:rPr>
          <w:b/>
        </w:rPr>
      </w:pPr>
      <w:r w:rsidRPr="00FC7F72">
        <w:rPr>
          <w:b/>
        </w:rPr>
        <w:t>Agency Forms and Consultation Guidelines</w:t>
      </w:r>
    </w:p>
    <w:bookmarkStart w:id="23" w:name="Section_one0eight_forms"/>
    <w:bookmarkStart w:id="24" w:name="Section_one0six_forms"/>
    <w:p w14:paraId="5F5BEFB2" w14:textId="6CC33F46" w:rsidR="00D0721B" w:rsidRDefault="001B336C" w:rsidP="00D0721B">
      <w:pPr>
        <w:pStyle w:val="Normal1"/>
        <w:numPr>
          <w:ilvl w:val="0"/>
          <w:numId w:val="15"/>
        </w:numPr>
        <w:spacing w:before="60" w:after="60"/>
      </w:pPr>
      <w:r>
        <w:fldChar w:fldCharType="begin"/>
      </w:r>
      <w:r>
        <w:instrText>HYPERLINK "https://www.cdbgsc.com/forms/environmental/wp-content/uploads/2018/11/Section-106_Project_Review_Form-rev-11-18.pdf"</w:instrText>
      </w:r>
      <w:r>
        <w:fldChar w:fldCharType="separate"/>
      </w:r>
      <w:r w:rsidR="00D0721B" w:rsidRPr="001B336C">
        <w:rPr>
          <w:rStyle w:val="Hyperlink"/>
        </w:rPr>
        <w:t xml:space="preserve">Section 106 Historic Preservation Review Form </w:t>
      </w:r>
      <w:r>
        <w:fldChar w:fldCharType="end"/>
      </w:r>
      <w:r w:rsidR="00D0721B">
        <w:t xml:space="preserve"> </w:t>
      </w:r>
    </w:p>
    <w:bookmarkEnd w:id="23"/>
    <w:bookmarkEnd w:id="24"/>
    <w:p w14:paraId="65076E2E" w14:textId="3D589601" w:rsidR="00D0721B" w:rsidRPr="007707EC" w:rsidRDefault="00634D55" w:rsidP="00D0721B">
      <w:pPr>
        <w:pStyle w:val="Normal1"/>
        <w:numPr>
          <w:ilvl w:val="0"/>
          <w:numId w:val="15"/>
        </w:numPr>
        <w:spacing w:before="60" w:after="60"/>
        <w:rPr>
          <w:b/>
        </w:rPr>
      </w:pPr>
      <w:r>
        <w:fldChar w:fldCharType="begin"/>
      </w:r>
      <w:r>
        <w:instrText>HYPERLINK "https://www.cdbgsc.com/wp-content/uploads/2020/08/SHPO_SCDOC-CDBG-Agreement_Final_executed.pdf"</w:instrText>
      </w:r>
      <w:r>
        <w:fldChar w:fldCharType="separate"/>
      </w:r>
      <w:r w:rsidR="00D0721B" w:rsidRPr="00634D55">
        <w:rPr>
          <w:rStyle w:val="Hyperlink"/>
        </w:rPr>
        <w:t>SHPO Agreement</w:t>
      </w:r>
      <w:r>
        <w:fldChar w:fldCharType="end"/>
      </w:r>
      <w:r w:rsidR="00D0721B">
        <w:t xml:space="preserve"> </w:t>
      </w:r>
    </w:p>
    <w:p w14:paraId="691AD7D7" w14:textId="76E5856A" w:rsidR="00D0721B" w:rsidRPr="003F01DB" w:rsidRDefault="00000000" w:rsidP="00D0721B">
      <w:pPr>
        <w:pStyle w:val="Normal1"/>
        <w:numPr>
          <w:ilvl w:val="0"/>
          <w:numId w:val="15"/>
        </w:numPr>
        <w:spacing w:before="60" w:after="60"/>
      </w:pPr>
      <w:hyperlink r:id="rId65" w:history="1">
        <w:r w:rsidR="00D0721B" w:rsidRPr="00634D55">
          <w:rPr>
            <w:rStyle w:val="Hyperlink"/>
          </w:rPr>
          <w:t>Fees in the Section 106 Review Process</w:t>
        </w:r>
      </w:hyperlink>
    </w:p>
    <w:p w14:paraId="45D739FB" w14:textId="5AC26F28" w:rsidR="00D0721B" w:rsidRPr="003F01DB" w:rsidRDefault="00000000" w:rsidP="00D0721B">
      <w:pPr>
        <w:pStyle w:val="Normal1"/>
        <w:numPr>
          <w:ilvl w:val="0"/>
          <w:numId w:val="15"/>
        </w:numPr>
        <w:spacing w:before="60" w:after="60"/>
      </w:pPr>
      <w:hyperlink r:id="rId66" w:history="1">
        <w:r w:rsidR="00D0721B" w:rsidRPr="00634D55">
          <w:rPr>
            <w:rStyle w:val="Hyperlink"/>
          </w:rPr>
          <w:t>ACPH e106 Notice of Availability</w:t>
        </w:r>
      </w:hyperlink>
      <w:r w:rsidR="00D0721B" w:rsidRPr="003F01DB">
        <w:t xml:space="preserve">, </w:t>
      </w:r>
      <w:hyperlink r:id="rId67" w:history="1">
        <w:r w:rsidR="00D0721B" w:rsidRPr="00067914">
          <w:rPr>
            <w:rStyle w:val="Hyperlink"/>
          </w:rPr>
          <w:t>Instructions and Form</w:t>
        </w:r>
      </w:hyperlink>
      <w:r w:rsidR="00D0721B" w:rsidRPr="003F01DB">
        <w:t xml:space="preserve">, </w:t>
      </w:r>
      <w:hyperlink r:id="rId68" w:history="1">
        <w:r w:rsidR="00D0721B" w:rsidRPr="00067914">
          <w:rPr>
            <w:rStyle w:val="Hyperlink"/>
          </w:rPr>
          <w:t>Adverse Effect Notification Form</w:t>
        </w:r>
      </w:hyperlink>
    </w:p>
    <w:p w14:paraId="6CD83B15" w14:textId="2CAFD448" w:rsidR="00D0721B" w:rsidRDefault="00000000" w:rsidP="00D0721B">
      <w:pPr>
        <w:pStyle w:val="Normal1"/>
        <w:numPr>
          <w:ilvl w:val="0"/>
          <w:numId w:val="15"/>
        </w:numPr>
        <w:spacing w:before="60" w:after="60"/>
        <w:rPr>
          <w:b/>
        </w:rPr>
      </w:pPr>
      <w:hyperlink r:id="rId69" w:history="1">
        <w:r w:rsidR="00D0721B" w:rsidRPr="00DD7E5C">
          <w:rPr>
            <w:rStyle w:val="Hyperlink"/>
          </w:rPr>
          <w:t>Sample USDA Tribal Review Sheet</w:t>
        </w:r>
      </w:hyperlink>
      <w:r w:rsidR="00D0721B">
        <w:t xml:space="preserve"> </w:t>
      </w:r>
    </w:p>
    <w:p w14:paraId="3E5F79DC" w14:textId="54ABDF3F" w:rsidR="00D0721B" w:rsidRDefault="00000000" w:rsidP="00D0721B">
      <w:pPr>
        <w:pStyle w:val="Normal1"/>
        <w:numPr>
          <w:ilvl w:val="0"/>
          <w:numId w:val="15"/>
        </w:numPr>
        <w:spacing w:before="60" w:after="60"/>
        <w:rPr>
          <w:b/>
        </w:rPr>
      </w:pPr>
      <w:hyperlink r:id="rId70" w:history="1">
        <w:r w:rsidR="00D0721B" w:rsidRPr="00DD7E5C">
          <w:rPr>
            <w:rStyle w:val="Hyperlink"/>
          </w:rPr>
          <w:t>Catawba Indian Nation Consultation Guidelines</w:t>
        </w:r>
      </w:hyperlink>
      <w:r w:rsidR="00D0721B">
        <w:t xml:space="preserve"> </w:t>
      </w:r>
    </w:p>
    <w:p w14:paraId="6FD2AFAE" w14:textId="7914B53E" w:rsidR="00D0721B" w:rsidRDefault="00000000" w:rsidP="00D0721B">
      <w:pPr>
        <w:pStyle w:val="Normal1"/>
        <w:numPr>
          <w:ilvl w:val="0"/>
          <w:numId w:val="15"/>
        </w:numPr>
        <w:spacing w:before="60" w:after="60"/>
      </w:pPr>
      <w:hyperlink r:id="rId71" w:history="1">
        <w:r w:rsidR="00D0721B" w:rsidRPr="00DD7E5C">
          <w:rPr>
            <w:rStyle w:val="Hyperlink"/>
          </w:rPr>
          <w:t>US Fish and Wildlife Service, Section 7 Consultation Requirements</w:t>
        </w:r>
      </w:hyperlink>
    </w:p>
    <w:p w14:paraId="69612888" w14:textId="66128523" w:rsidR="006F419E" w:rsidRPr="006F419E" w:rsidRDefault="00000000" w:rsidP="00D0721B">
      <w:pPr>
        <w:pStyle w:val="Normal1"/>
        <w:numPr>
          <w:ilvl w:val="0"/>
          <w:numId w:val="15"/>
        </w:numPr>
        <w:spacing w:before="60" w:after="60"/>
        <w:rPr>
          <w:rFonts w:cs="Tahoma"/>
        </w:rPr>
      </w:pPr>
      <w:hyperlink r:id="rId72" w:history="1">
        <w:r w:rsidR="006F419E" w:rsidRPr="006F419E">
          <w:rPr>
            <w:rFonts w:cs="Tahoma"/>
            <w:color w:val="0000FF"/>
            <w:u w:val="single"/>
          </w:rPr>
          <w:t xml:space="preserve">U.S. Fish and Wildlife Service Clearance to Proceed with </w:t>
        </w:r>
        <w:proofErr w:type="gramStart"/>
        <w:r w:rsidR="006F419E" w:rsidRPr="006F419E">
          <w:rPr>
            <w:rFonts w:cs="Tahoma"/>
            <w:color w:val="0000FF"/>
          </w:rPr>
          <w:t>Federally-Insured</w:t>
        </w:r>
        <w:proofErr w:type="gramEnd"/>
        <w:r w:rsidR="006F419E" w:rsidRPr="006F419E">
          <w:rPr>
            <w:rFonts w:cs="Tahoma"/>
            <w:color w:val="0000FF"/>
          </w:rPr>
          <w:t xml:space="preserve"> </w:t>
        </w:r>
        <w:r w:rsidR="006F419E" w:rsidRPr="006F419E">
          <w:rPr>
            <w:rFonts w:cs="Tahoma"/>
            <w:color w:val="0000FF"/>
            <w:u w:val="single"/>
          </w:rPr>
          <w:t>Loan and Grant Project Requests (fws.gov)</w:t>
        </w:r>
      </w:hyperlink>
    </w:p>
    <w:p w14:paraId="2CD62CCE" w14:textId="1F285568" w:rsidR="00D0721B" w:rsidRDefault="00000000" w:rsidP="00D0721B">
      <w:pPr>
        <w:pStyle w:val="Normal1"/>
        <w:numPr>
          <w:ilvl w:val="0"/>
          <w:numId w:val="15"/>
        </w:numPr>
        <w:spacing w:before="60" w:after="60"/>
      </w:pPr>
      <w:hyperlink r:id="rId73" w:history="1">
        <w:r w:rsidR="00D0721B" w:rsidRPr="00A50EBA">
          <w:rPr>
            <w:rStyle w:val="Hyperlink"/>
          </w:rPr>
          <w:t>Army Corps of Engineers, Jurisdictional Determination Request</w:t>
        </w:r>
      </w:hyperlink>
      <w:r w:rsidR="00D0721B">
        <w:t xml:space="preserve"> </w:t>
      </w:r>
    </w:p>
    <w:p w14:paraId="2F81B6B3" w14:textId="1770CC03" w:rsidR="00D0721B" w:rsidRDefault="00000000" w:rsidP="00D0721B">
      <w:pPr>
        <w:pStyle w:val="Normal1"/>
        <w:numPr>
          <w:ilvl w:val="0"/>
          <w:numId w:val="15"/>
        </w:numPr>
        <w:spacing w:before="60" w:after="60"/>
      </w:pPr>
      <w:hyperlink r:id="rId74" w:history="1">
        <w:r w:rsidR="00D0721B" w:rsidRPr="00D1427B">
          <w:rPr>
            <w:rStyle w:val="Hyperlink"/>
          </w:rPr>
          <w:t>Wetland Identification Procedures</w:t>
        </w:r>
      </w:hyperlink>
    </w:p>
    <w:p w14:paraId="1E4ACA88" w14:textId="660635EB" w:rsidR="00D0721B" w:rsidRDefault="00000000" w:rsidP="00D0721B">
      <w:pPr>
        <w:pStyle w:val="Normal1"/>
        <w:numPr>
          <w:ilvl w:val="0"/>
          <w:numId w:val="15"/>
        </w:numPr>
        <w:spacing w:before="60" w:after="60"/>
      </w:pPr>
      <w:hyperlink r:id="rId75" w:history="1">
        <w:r w:rsidR="00D0721B" w:rsidRPr="00D1427B">
          <w:rPr>
            <w:rStyle w:val="Hyperlink"/>
          </w:rPr>
          <w:t>HUD CPD Notice 12-006 Tribal Contact</w:t>
        </w:r>
      </w:hyperlink>
    </w:p>
    <w:bookmarkStart w:id="25" w:name="RADON"/>
    <w:p w14:paraId="719BCB50" w14:textId="20B9F6A6" w:rsidR="00D1427B" w:rsidRDefault="00073232" w:rsidP="00D0721B">
      <w:pPr>
        <w:pStyle w:val="Normal1"/>
        <w:numPr>
          <w:ilvl w:val="0"/>
          <w:numId w:val="15"/>
        </w:numPr>
        <w:spacing w:before="60" w:after="60"/>
      </w:pPr>
      <w:r>
        <w:fldChar w:fldCharType="begin"/>
      </w:r>
      <w:r>
        <w:instrText>HYPERLINK "https://www.cdbgsc.com/wp-content/uploads/2024/01/HUD-CPD-Notice-23-103-Addressing-Radon-in-the-ERR-Process.pdf"</w:instrText>
      </w:r>
      <w:r>
        <w:fldChar w:fldCharType="separate"/>
      </w:r>
      <w:r w:rsidR="00D1427B" w:rsidRPr="00073232">
        <w:rPr>
          <w:rStyle w:val="Hyperlink"/>
        </w:rPr>
        <w:t>HUD CPD Notice 23-103 Addressing Radon</w:t>
      </w:r>
      <w:r>
        <w:fldChar w:fldCharType="end"/>
      </w:r>
      <w:bookmarkEnd w:id="25"/>
    </w:p>
    <w:p w14:paraId="67C54333" w14:textId="0CEF8C6D" w:rsidR="00CA32E8" w:rsidRDefault="00E33272" w:rsidP="00D0721B">
      <w:pPr>
        <w:pStyle w:val="Normal1"/>
        <w:numPr>
          <w:ilvl w:val="0"/>
          <w:numId w:val="15"/>
        </w:numPr>
        <w:spacing w:before="60" w:after="60"/>
      </w:pPr>
      <w:r>
        <w:t xml:space="preserve">HUD </w:t>
      </w:r>
      <w:hyperlink r:id="rId76" w:history="1">
        <w:r w:rsidRPr="00E33272">
          <w:rPr>
            <w:rFonts w:ascii="Arial" w:hAnsi="Arial"/>
            <w:color w:val="0000FF"/>
            <w:u w:val="single"/>
          </w:rPr>
          <w:t>FFRMS Final Rule Webinar Series: Part 55 Overview and Compliance - HUD Exchange</w:t>
        </w:r>
      </w:hyperlink>
    </w:p>
    <w:p w14:paraId="364888E7" w14:textId="77777777" w:rsidR="00D0721B" w:rsidRPr="00FC7F72" w:rsidRDefault="00D0721B" w:rsidP="00D0721B">
      <w:pPr>
        <w:pStyle w:val="Normal1"/>
        <w:spacing w:before="240"/>
        <w:rPr>
          <w:b/>
        </w:rPr>
      </w:pPr>
      <w:r>
        <w:rPr>
          <w:b/>
        </w:rPr>
        <w:t>Additional Agency/Consultation Resources</w:t>
      </w:r>
    </w:p>
    <w:p w14:paraId="17B8DEAC" w14:textId="29A45941" w:rsidR="00D0721B" w:rsidRDefault="00000000" w:rsidP="00D0721B">
      <w:pPr>
        <w:pStyle w:val="Normal1"/>
        <w:numPr>
          <w:ilvl w:val="0"/>
          <w:numId w:val="16"/>
        </w:numPr>
        <w:spacing w:before="60" w:after="60"/>
      </w:pPr>
      <w:hyperlink r:id="rId77" w:history="1">
        <w:r w:rsidR="00D0721B" w:rsidRPr="00073232">
          <w:rPr>
            <w:rStyle w:val="Hyperlink"/>
          </w:rPr>
          <w:t xml:space="preserve">Agency Contact List </w:t>
        </w:r>
      </w:hyperlink>
      <w:r w:rsidR="00D0721B">
        <w:t xml:space="preserve"> </w:t>
      </w:r>
    </w:p>
    <w:p w14:paraId="2A433910" w14:textId="55F9D59A" w:rsidR="00D0721B" w:rsidRDefault="00000000" w:rsidP="00D0721B">
      <w:pPr>
        <w:pStyle w:val="Normal1"/>
        <w:numPr>
          <w:ilvl w:val="0"/>
          <w:numId w:val="16"/>
        </w:numPr>
        <w:spacing w:before="60" w:after="60"/>
      </w:pPr>
      <w:hyperlink r:id="rId78" w:history="1">
        <w:r w:rsidR="00D0721B" w:rsidRPr="00343649">
          <w:rPr>
            <w:rStyle w:val="Hyperlink"/>
          </w:rPr>
          <w:t>Web Resources for Environmental Review</w:t>
        </w:r>
      </w:hyperlink>
    </w:p>
    <w:p w14:paraId="6FF0E6B6" w14:textId="7272BCDF" w:rsidR="00D0721B" w:rsidRPr="00655D05" w:rsidRDefault="00000000" w:rsidP="00D0721B">
      <w:pPr>
        <w:pStyle w:val="Normal1"/>
        <w:numPr>
          <w:ilvl w:val="0"/>
          <w:numId w:val="16"/>
        </w:numPr>
        <w:tabs>
          <w:tab w:val="left" w:pos="360"/>
        </w:tabs>
        <w:spacing w:before="60" w:after="60"/>
        <w:rPr>
          <w:b/>
        </w:rPr>
      </w:pPr>
      <w:hyperlink r:id="rId79" w:history="1">
        <w:r w:rsidR="00D0721B" w:rsidRPr="00343649">
          <w:rPr>
            <w:rStyle w:val="Hyperlink"/>
          </w:rPr>
          <w:t>Federally Endangered Species List for SC</w:t>
        </w:r>
        <w:r w:rsidR="00D0721B" w:rsidRPr="00343649">
          <w:rPr>
            <w:rStyle w:val="Hyperlink"/>
          </w:rPr>
          <w:tab/>
          <w:t xml:space="preserve"> - link to SC DNR Website</w:t>
        </w:r>
      </w:hyperlink>
    </w:p>
    <w:p w14:paraId="07CFD466" w14:textId="409B1E84" w:rsidR="00D0721B" w:rsidRPr="00551EDE" w:rsidRDefault="00000000" w:rsidP="00D0721B">
      <w:pPr>
        <w:pStyle w:val="Normal1"/>
        <w:numPr>
          <w:ilvl w:val="0"/>
          <w:numId w:val="16"/>
        </w:numPr>
        <w:tabs>
          <w:tab w:val="left" w:pos="360"/>
        </w:tabs>
        <w:spacing w:before="60" w:after="60"/>
        <w:rPr>
          <w:b/>
        </w:rPr>
      </w:pPr>
      <w:hyperlink r:id="rId80" w:history="1">
        <w:r w:rsidR="00D0721B" w:rsidRPr="004740B9">
          <w:rPr>
            <w:rStyle w:val="Hyperlink"/>
          </w:rPr>
          <w:t>Environmental Assessment Factors Guidance</w:t>
        </w:r>
      </w:hyperlink>
      <w:r w:rsidR="00D0721B">
        <w:t xml:space="preserve"> </w:t>
      </w:r>
    </w:p>
    <w:p w14:paraId="4B13FF55" w14:textId="77777777" w:rsidR="00D0721B" w:rsidRPr="00FC7F72" w:rsidRDefault="00D0721B" w:rsidP="00D0721B">
      <w:pPr>
        <w:pStyle w:val="Normal1"/>
        <w:spacing w:before="240"/>
        <w:rPr>
          <w:b/>
        </w:rPr>
      </w:pPr>
      <w:r>
        <w:rPr>
          <w:b/>
        </w:rPr>
        <w:t xml:space="preserve">Environmental </w:t>
      </w:r>
      <w:r w:rsidRPr="00FC7F72">
        <w:rPr>
          <w:b/>
        </w:rPr>
        <w:t>Notices</w:t>
      </w:r>
    </w:p>
    <w:bookmarkStart w:id="26" w:name="eight_step_notices"/>
    <w:p w14:paraId="59373525" w14:textId="738C736E" w:rsidR="00D0721B" w:rsidRPr="008D103D" w:rsidRDefault="004740B9" w:rsidP="00D0721B">
      <w:pPr>
        <w:pStyle w:val="Normal1"/>
        <w:numPr>
          <w:ilvl w:val="0"/>
          <w:numId w:val="13"/>
        </w:numPr>
        <w:spacing w:before="60" w:after="60"/>
        <w:rPr>
          <w:b/>
        </w:rPr>
      </w:pPr>
      <w:r>
        <w:fldChar w:fldCharType="begin"/>
      </w:r>
      <w:r w:rsidR="009D77FA">
        <w:instrText>HYPERLINK "https://www.cdbgsc.com/wp-content/uploads/2024/10/Sample-Eight-Step-Notices.pdf"</w:instrText>
      </w:r>
      <w:r>
        <w:fldChar w:fldCharType="separate"/>
      </w:r>
      <w:r w:rsidR="00D0721B" w:rsidRPr="004740B9">
        <w:rPr>
          <w:rStyle w:val="Hyperlink"/>
        </w:rPr>
        <w:t>HUD 8-step N</w:t>
      </w:r>
      <w:r w:rsidR="00D0721B" w:rsidRPr="004740B9">
        <w:rPr>
          <w:rStyle w:val="Hyperlink"/>
        </w:rPr>
        <w:t>o</w:t>
      </w:r>
      <w:r w:rsidR="00D0721B" w:rsidRPr="004740B9">
        <w:rPr>
          <w:rStyle w:val="Hyperlink"/>
        </w:rPr>
        <w:t>tices</w:t>
      </w:r>
      <w:r>
        <w:fldChar w:fldCharType="end"/>
      </w:r>
      <w:r w:rsidR="00D0721B">
        <w:t xml:space="preserve"> </w:t>
      </w:r>
      <w:bookmarkEnd w:id="26"/>
      <w:r w:rsidR="00D0721B">
        <w:t>(Early Notice and Public Review and Final Notice and Public Explanation)</w:t>
      </w:r>
    </w:p>
    <w:p w14:paraId="35FEC168" w14:textId="770F814E" w:rsidR="00D0721B" w:rsidRDefault="00000000" w:rsidP="00D0721B">
      <w:pPr>
        <w:pStyle w:val="Normal1"/>
        <w:numPr>
          <w:ilvl w:val="0"/>
          <w:numId w:val="13"/>
        </w:numPr>
        <w:spacing w:before="60" w:after="60"/>
      </w:pPr>
      <w:hyperlink r:id="rId81" w:history="1">
        <w:r w:rsidR="00D0721B" w:rsidRPr="008C06CB">
          <w:rPr>
            <w:rStyle w:val="Hyperlink"/>
          </w:rPr>
          <w:t>Notice to Public of Intent to Request Release of Funds</w:t>
        </w:r>
      </w:hyperlink>
      <w:r w:rsidR="00D0721B">
        <w:t xml:space="preserve"> </w:t>
      </w:r>
    </w:p>
    <w:p w14:paraId="094E7B04" w14:textId="14C64CC5" w:rsidR="00D0721B" w:rsidRDefault="00000000" w:rsidP="00D0721B">
      <w:pPr>
        <w:pStyle w:val="Normal1"/>
        <w:numPr>
          <w:ilvl w:val="0"/>
          <w:numId w:val="13"/>
        </w:numPr>
        <w:spacing w:before="60" w:after="60"/>
        <w:jc w:val="left"/>
      </w:pPr>
      <w:hyperlink r:id="rId82" w:history="1">
        <w:r w:rsidR="00D0721B" w:rsidRPr="001738AD">
          <w:rPr>
            <w:rStyle w:val="Hyperlink"/>
          </w:rPr>
          <w:t xml:space="preserve">Combined Notice-Notice to Public of No Significant Impact on the Environment and Notice to Public of Request for Release of Funds </w:t>
        </w:r>
      </w:hyperlink>
      <w:r w:rsidR="00D0721B">
        <w:t xml:space="preserve"> </w:t>
      </w:r>
    </w:p>
    <w:p w14:paraId="22D1FFD4" w14:textId="71261BC7" w:rsidR="00D0721B" w:rsidRPr="004747B6" w:rsidRDefault="00000000" w:rsidP="00D0721B">
      <w:pPr>
        <w:pStyle w:val="Normal1"/>
        <w:numPr>
          <w:ilvl w:val="0"/>
          <w:numId w:val="13"/>
        </w:numPr>
        <w:spacing w:before="60" w:after="60"/>
      </w:pPr>
      <w:hyperlink r:id="rId83" w:history="1">
        <w:r w:rsidR="00D0721B" w:rsidRPr="001738AD">
          <w:rPr>
            <w:rStyle w:val="Hyperlink"/>
          </w:rPr>
          <w:t xml:space="preserve">Request for Release of Funds and Certification </w:t>
        </w:r>
      </w:hyperlink>
      <w:r w:rsidR="00D0721B" w:rsidRPr="00551EDE">
        <w:t xml:space="preserve"> </w:t>
      </w:r>
    </w:p>
    <w:p w14:paraId="6D502468" w14:textId="77777777" w:rsidR="00D0721B" w:rsidRPr="00FC7F72" w:rsidRDefault="00D0721B" w:rsidP="00D0721B">
      <w:pPr>
        <w:pStyle w:val="Normal1"/>
        <w:spacing w:before="240"/>
        <w:rPr>
          <w:b/>
        </w:rPr>
      </w:pPr>
      <w:r>
        <w:rPr>
          <w:b/>
        </w:rPr>
        <w:t xml:space="preserve">Environmental </w:t>
      </w:r>
      <w:r w:rsidRPr="00FC7F72">
        <w:rPr>
          <w:b/>
        </w:rPr>
        <w:t>Decision</w:t>
      </w:r>
      <w:r>
        <w:rPr>
          <w:b/>
        </w:rPr>
        <w:t>-Making</w:t>
      </w:r>
      <w:r w:rsidRPr="00FC7F72">
        <w:rPr>
          <w:b/>
        </w:rPr>
        <w:t xml:space="preserve"> Tools</w:t>
      </w:r>
    </w:p>
    <w:p w14:paraId="6908EB60" w14:textId="1BDCD9BD" w:rsidR="001738AD" w:rsidRDefault="00000000" w:rsidP="00D0721B">
      <w:pPr>
        <w:pStyle w:val="Normal1"/>
        <w:numPr>
          <w:ilvl w:val="0"/>
          <w:numId w:val="12"/>
        </w:numPr>
        <w:spacing w:before="60" w:after="60"/>
      </w:pPr>
      <w:hyperlink r:id="rId84" w:history="1">
        <w:r w:rsidR="001738AD" w:rsidRPr="009D03BA">
          <w:rPr>
            <w:rStyle w:val="Hyperlink"/>
          </w:rPr>
          <w:t>Using a Phase 1 Environmental Site Assessment to Document Environmental Compliance</w:t>
        </w:r>
      </w:hyperlink>
    </w:p>
    <w:p w14:paraId="3691930E" w14:textId="7B8C55C3" w:rsidR="00D0721B" w:rsidRDefault="00000000" w:rsidP="00D0721B">
      <w:pPr>
        <w:pStyle w:val="Normal1"/>
        <w:numPr>
          <w:ilvl w:val="0"/>
          <w:numId w:val="12"/>
        </w:numPr>
        <w:spacing w:before="60" w:after="60"/>
      </w:pPr>
      <w:hyperlink r:id="rId85" w:history="1">
        <w:r w:rsidR="00D0721B" w:rsidRPr="005050C5">
          <w:rPr>
            <w:rStyle w:val="Hyperlink"/>
          </w:rPr>
          <w:t>Process for Combined Notice Publication</w:t>
        </w:r>
      </w:hyperlink>
    </w:p>
    <w:p w14:paraId="09C361DF" w14:textId="4A0E6919" w:rsidR="00D0721B" w:rsidRDefault="00000000" w:rsidP="00D0721B">
      <w:pPr>
        <w:pStyle w:val="Normal1"/>
        <w:numPr>
          <w:ilvl w:val="0"/>
          <w:numId w:val="12"/>
        </w:numPr>
        <w:spacing w:before="60" w:after="60"/>
      </w:pPr>
      <w:hyperlink r:id="rId86" w:history="1">
        <w:r w:rsidR="00D0721B" w:rsidRPr="005050C5">
          <w:rPr>
            <w:rStyle w:val="Hyperlink"/>
          </w:rPr>
          <w:t xml:space="preserve">Environmental Review Flow Chart </w:t>
        </w:r>
      </w:hyperlink>
      <w:r w:rsidR="00D0721B">
        <w:t xml:space="preserve"> </w:t>
      </w:r>
    </w:p>
    <w:p w14:paraId="278E5D10" w14:textId="471553B9" w:rsidR="00D0721B" w:rsidRPr="005A046E" w:rsidRDefault="00000000" w:rsidP="00D0721B">
      <w:pPr>
        <w:pStyle w:val="Normal1"/>
        <w:numPr>
          <w:ilvl w:val="0"/>
          <w:numId w:val="12"/>
        </w:numPr>
        <w:spacing w:before="60" w:after="60"/>
      </w:pPr>
      <w:hyperlink r:id="rId87" w:history="1">
        <w:r w:rsidR="00D0721B" w:rsidRPr="005050C5">
          <w:rPr>
            <w:rStyle w:val="Hyperlink"/>
          </w:rPr>
          <w:t xml:space="preserve">Decision Making Process </w:t>
        </w:r>
        <w:r w:rsidR="00D0721B" w:rsidRPr="005050C5">
          <w:rPr>
            <w:rStyle w:val="Hyperlink"/>
          </w:rPr>
          <w:t>f</w:t>
        </w:r>
        <w:r w:rsidR="00D0721B" w:rsidRPr="005050C5">
          <w:rPr>
            <w:rStyle w:val="Hyperlink"/>
          </w:rPr>
          <w:t>or Floo</w:t>
        </w:r>
        <w:r w:rsidR="00D0721B" w:rsidRPr="005050C5">
          <w:rPr>
            <w:rStyle w:val="Hyperlink"/>
          </w:rPr>
          <w:t>d</w:t>
        </w:r>
        <w:r w:rsidR="00D0721B" w:rsidRPr="005050C5">
          <w:rPr>
            <w:rStyle w:val="Hyperlink"/>
          </w:rPr>
          <w:t>plains Flow Chart</w:t>
        </w:r>
      </w:hyperlink>
      <w:r w:rsidR="00D0721B">
        <w:t xml:space="preserve"> </w:t>
      </w:r>
    </w:p>
    <w:p w14:paraId="43CBF9BC" w14:textId="26F0B7D4" w:rsidR="00E33272" w:rsidRDefault="00000000" w:rsidP="00D0721B">
      <w:pPr>
        <w:pStyle w:val="Normal1"/>
        <w:numPr>
          <w:ilvl w:val="0"/>
          <w:numId w:val="12"/>
        </w:numPr>
        <w:spacing w:before="60" w:after="60"/>
      </w:pPr>
      <w:hyperlink r:id="rId88" w:history="1">
        <w:r w:rsidR="00E33272" w:rsidRPr="00E33272">
          <w:rPr>
            <w:rFonts w:ascii="Arial" w:hAnsi="Arial"/>
            <w:color w:val="0000FF"/>
            <w:u w:val="single"/>
          </w:rPr>
          <w:t>Floodplain-</w:t>
        </w:r>
        <w:r w:rsidR="00E33272" w:rsidRPr="00E33272">
          <w:rPr>
            <w:rFonts w:ascii="Arial" w:hAnsi="Arial"/>
            <w:color w:val="0000FF"/>
            <w:u w:val="single"/>
          </w:rPr>
          <w:t>M</w:t>
        </w:r>
        <w:r w:rsidR="00E33272" w:rsidRPr="00E33272">
          <w:rPr>
            <w:rFonts w:ascii="Arial" w:hAnsi="Arial"/>
            <w:color w:val="0000FF"/>
            <w:u w:val="single"/>
          </w:rPr>
          <w:t>anagement-HUD</w:t>
        </w:r>
        <w:r w:rsidR="00E33272" w:rsidRPr="00E33272">
          <w:rPr>
            <w:rFonts w:ascii="Arial" w:hAnsi="Arial"/>
            <w:color w:val="0000FF"/>
            <w:u w:val="single"/>
          </w:rPr>
          <w:t>-</w:t>
        </w:r>
        <w:r w:rsidR="00E33272" w:rsidRPr="00E33272">
          <w:rPr>
            <w:rFonts w:ascii="Arial" w:hAnsi="Arial"/>
            <w:color w:val="0000FF"/>
            <w:u w:val="single"/>
          </w:rPr>
          <w:t>RE-Worksheet-2024.docx (live.com)</w:t>
        </w:r>
      </w:hyperlink>
    </w:p>
    <w:p w14:paraId="42ED6E05" w14:textId="58BA5383" w:rsidR="00E33272" w:rsidRDefault="00000000" w:rsidP="00D0721B">
      <w:pPr>
        <w:pStyle w:val="Normal1"/>
        <w:numPr>
          <w:ilvl w:val="0"/>
          <w:numId w:val="12"/>
        </w:numPr>
        <w:spacing w:before="60" w:after="60"/>
      </w:pPr>
      <w:hyperlink r:id="rId89" w:history="1">
        <w:r w:rsidR="00E33272" w:rsidRPr="00E33272">
          <w:rPr>
            <w:rFonts w:ascii="Arial" w:hAnsi="Arial"/>
            <w:color w:val="0000FF"/>
            <w:u w:val="single"/>
          </w:rPr>
          <w:t>Wetlands-Protection-Worksheet.docx (live.com)</w:t>
        </w:r>
      </w:hyperlink>
    </w:p>
    <w:p w14:paraId="3D2F5AB9" w14:textId="183BA31E" w:rsidR="00D0721B" w:rsidRDefault="00000000" w:rsidP="00D0721B">
      <w:pPr>
        <w:pStyle w:val="Normal1"/>
        <w:numPr>
          <w:ilvl w:val="0"/>
          <w:numId w:val="12"/>
        </w:numPr>
        <w:spacing w:before="60" w:after="60"/>
      </w:pPr>
      <w:hyperlink r:id="rId90" w:history="1">
        <w:r w:rsidR="00D0721B" w:rsidRPr="0016062B">
          <w:rPr>
            <w:rStyle w:val="Hyperlink"/>
          </w:rPr>
          <w:t>Publication Guide for NOI and FONSI</w:t>
        </w:r>
      </w:hyperlink>
      <w:r w:rsidR="00D0721B">
        <w:t xml:space="preserve"> </w:t>
      </w:r>
    </w:p>
    <w:bookmarkStart w:id="27" w:name="NOI_RROF"/>
    <w:p w14:paraId="5CB8414C" w14:textId="355A7C8F" w:rsidR="00D0721B" w:rsidRDefault="0016062B" w:rsidP="00D0721B">
      <w:pPr>
        <w:pStyle w:val="Normal1"/>
        <w:numPr>
          <w:ilvl w:val="0"/>
          <w:numId w:val="12"/>
        </w:numPr>
        <w:spacing w:before="60" w:after="60"/>
      </w:pPr>
      <w:r>
        <w:fldChar w:fldCharType="begin"/>
      </w:r>
      <w:r>
        <w:instrText>HYPERLINK "https://www.cdbgsc.com/wp-content/uploads/2018/11/Publication-Guide-for-Combined-Notice-NOI.docx"</w:instrText>
      </w:r>
      <w:r>
        <w:fldChar w:fldCharType="separate"/>
      </w:r>
      <w:r w:rsidR="00D0721B" w:rsidRPr="0016062B">
        <w:rPr>
          <w:rStyle w:val="Hyperlink"/>
        </w:rPr>
        <w:t>Publication Guide for NOI/RROF</w:t>
      </w:r>
      <w:r>
        <w:fldChar w:fldCharType="end"/>
      </w:r>
    </w:p>
    <w:bookmarkEnd w:id="27"/>
    <w:p w14:paraId="23ADF580" w14:textId="6A10E5EA" w:rsidR="00D0721B" w:rsidRDefault="0016062B" w:rsidP="00D0721B">
      <w:pPr>
        <w:pStyle w:val="Normal1"/>
        <w:numPr>
          <w:ilvl w:val="0"/>
          <w:numId w:val="12"/>
        </w:numPr>
        <w:spacing w:before="60" w:after="60"/>
      </w:pPr>
      <w:r>
        <w:fldChar w:fldCharType="begin"/>
      </w:r>
      <w:r>
        <w:instrText>HYPERLINK "https://www.cdbgsc.com/wp-content/uploads/2018/11/NEPA-Public-Comment-Calculator.xlsx"</w:instrText>
      </w:r>
      <w:r>
        <w:fldChar w:fldCharType="separate"/>
      </w:r>
      <w:r w:rsidR="00D0721B" w:rsidRPr="0016062B">
        <w:rPr>
          <w:rStyle w:val="Hyperlink"/>
        </w:rPr>
        <w:t xml:space="preserve">NEPA Public Comment Period Calculator </w:t>
      </w:r>
      <w:r>
        <w:fldChar w:fldCharType="end"/>
      </w:r>
      <w:r w:rsidR="00D0721B">
        <w:t xml:space="preserve"> </w:t>
      </w:r>
    </w:p>
    <w:p w14:paraId="4B9039B9" w14:textId="77777777" w:rsidR="0016062B" w:rsidRDefault="00000000" w:rsidP="0016062B">
      <w:pPr>
        <w:pStyle w:val="Normal1"/>
        <w:numPr>
          <w:ilvl w:val="0"/>
          <w:numId w:val="12"/>
        </w:numPr>
      </w:pPr>
      <w:hyperlink r:id="rId91" w:history="1">
        <w:r w:rsidR="00D0721B" w:rsidRPr="0016062B">
          <w:rPr>
            <w:rStyle w:val="Hyperlink"/>
          </w:rPr>
          <w:t xml:space="preserve">Using Tiering with Unspecified Sites </w:t>
        </w:r>
      </w:hyperlink>
      <w:r w:rsidR="00D0721B">
        <w:t xml:space="preserve"> </w:t>
      </w:r>
    </w:p>
    <w:p w14:paraId="37E63F39" w14:textId="30346290" w:rsidR="0016062B" w:rsidRDefault="00000000" w:rsidP="004604E6">
      <w:pPr>
        <w:pStyle w:val="Normal1"/>
        <w:numPr>
          <w:ilvl w:val="0"/>
          <w:numId w:val="12"/>
        </w:numPr>
      </w:pPr>
      <w:hyperlink r:id="rId92" w:history="1">
        <w:r w:rsidR="0016062B" w:rsidRPr="007C0736">
          <w:rPr>
            <w:rStyle w:val="Hyperlink"/>
          </w:rPr>
          <w:t>Site-Specific Review Checklist</w:t>
        </w:r>
      </w:hyperlink>
    </w:p>
    <w:p w14:paraId="1E318BA5" w14:textId="271E138B" w:rsidR="005275EE" w:rsidRPr="00305967" w:rsidRDefault="00D0721B" w:rsidP="004604E6">
      <w:pPr>
        <w:pStyle w:val="Normal1"/>
        <w:sectPr w:rsidR="005275EE" w:rsidRPr="00305967" w:rsidSect="00736DFC">
          <w:headerReference w:type="even" r:id="rId93"/>
          <w:headerReference w:type="default" r:id="rId94"/>
          <w:footerReference w:type="even" r:id="rId95"/>
          <w:footerReference w:type="default" r:id="rId96"/>
          <w:headerReference w:type="first" r:id="rId97"/>
          <w:footerReference w:type="first" r:id="rId98"/>
          <w:pgSz w:w="12240" w:h="15840" w:code="1"/>
          <w:pgMar w:top="1440" w:right="1354" w:bottom="1440" w:left="1800" w:header="720" w:footer="720" w:gutter="0"/>
          <w:cols w:space="720"/>
          <w:titlePg/>
        </w:sectPr>
      </w:pPr>
      <w:r>
        <w:t xml:space="preserve">  </w:t>
      </w:r>
    </w:p>
    <w:p w14:paraId="0EF271A5" w14:textId="631F7A5C" w:rsidR="00282AB3" w:rsidRDefault="0094106A" w:rsidP="004604E6">
      <w:pPr>
        <w:pStyle w:val="Heading2"/>
        <w:spacing w:line="288" w:lineRule="auto"/>
      </w:pPr>
      <w:bookmarkStart w:id="28" w:name="_Chapter_2:_Environmental"/>
      <w:bookmarkEnd w:id="28"/>
      <w:r>
        <w:lastRenderedPageBreak/>
        <w:t>Chapter 2: Appendix</w:t>
      </w:r>
    </w:p>
    <w:p w14:paraId="43AFCD68" w14:textId="4606B0C2" w:rsidR="00804AE5" w:rsidRPr="00B863E7" w:rsidRDefault="00804AE5" w:rsidP="004604E6">
      <w:pPr>
        <w:pStyle w:val="Heading3"/>
        <w:jc w:val="center"/>
      </w:pPr>
      <w:bookmarkStart w:id="29" w:name="_Appendix_A"/>
      <w:bookmarkEnd w:id="29"/>
      <w:r>
        <w:t>Appendix A</w:t>
      </w:r>
    </w:p>
    <w:p w14:paraId="691C8A76" w14:textId="53E25348" w:rsidR="00CA4416" w:rsidRDefault="00CA4416" w:rsidP="00CA4416">
      <w:pPr>
        <w:pStyle w:val="Heading4"/>
      </w:pPr>
      <w:r>
        <w:t>Conducting Environmental Reviews for Projects with Unspecified Sites</w:t>
      </w:r>
    </w:p>
    <w:p w14:paraId="41E46E4D" w14:textId="312D23EF" w:rsidR="005275EE" w:rsidRDefault="005275EE" w:rsidP="005275EE">
      <w:pPr>
        <w:pStyle w:val="Normal1"/>
      </w:pPr>
      <w:r>
        <w:t>There are projects where it is not possible, because of the nature of the activities to be carried out, to identify on the front-end the exact geographic location of the project's activities until they are underway</w:t>
      </w:r>
      <w:r w:rsidRPr="009F2878">
        <w:t xml:space="preserve">.  In these situations, a tiered environmental review may be prepared. </w:t>
      </w:r>
      <w:r>
        <w:t>The concept of tiering or conducting environmental reviews of unspecified sites allows for broad reviews of environmental impacts at an early stage and a review of site</w:t>
      </w:r>
      <w:r w:rsidR="0091719A">
        <w:t>-</w:t>
      </w:r>
      <w:r>
        <w:t>specific impacts when the site is identified.</w:t>
      </w:r>
      <w:r w:rsidRPr="009F2878">
        <w:t xml:space="preserve"> </w:t>
      </w:r>
      <w:r>
        <w:t xml:space="preserve">(More information on tiering is including in the attachments to this chapter.)  </w:t>
      </w:r>
      <w:r w:rsidRPr="009F2878">
        <w:t xml:space="preserve">Examples of these projects would include </w:t>
      </w:r>
      <w:r>
        <w:t xml:space="preserve">a phased downtown revitalization or a neighborhood demolition </w:t>
      </w:r>
      <w:r w:rsidRPr="009F2878">
        <w:t>program.  Conceptually, the review procedure</w:t>
      </w:r>
      <w:r>
        <w:t xml:space="preserve"> can be structured in three</w:t>
      </w:r>
      <w:r w:rsidRPr="00C2485F">
        <w:t xml:space="preserve"> basic steps.  These</w:t>
      </w:r>
      <w:r>
        <w:t xml:space="preserve"> steps are outlined below.</w:t>
      </w:r>
    </w:p>
    <w:p w14:paraId="73685011" w14:textId="4D9918FD" w:rsidR="005275EE" w:rsidRPr="00CD11AC" w:rsidRDefault="005275EE" w:rsidP="005275EE">
      <w:pPr>
        <w:pStyle w:val="Bullet10"/>
      </w:pPr>
      <w:r w:rsidRPr="00CD11AC">
        <w:t xml:space="preserve">Step 1 - Prepare an </w:t>
      </w:r>
      <w:r>
        <w:t xml:space="preserve">area-wide (Tier One) </w:t>
      </w:r>
      <w:r w:rsidRPr="00CD11AC">
        <w:t>environmental assessment (</w:t>
      </w:r>
      <w:hyperlink r:id="rId99" w:history="1">
        <w:r w:rsidRPr="000A4AE3">
          <w:rPr>
            <w:rStyle w:val="Hyperlink"/>
            <w:i/>
          </w:rPr>
          <w:t>Environmental Assessment</w:t>
        </w:r>
      </w:hyperlink>
      <w:r w:rsidRPr="00CD11AC">
        <w:t xml:space="preserve">) or </w:t>
      </w:r>
      <w:hyperlink r:id="rId100" w:history="1">
        <w:r w:rsidRPr="008F57F6">
          <w:rPr>
            <w:rStyle w:val="Hyperlink"/>
            <w:i/>
          </w:rPr>
          <w:t>Environmental Review for CEST</w:t>
        </w:r>
      </w:hyperlink>
      <w:r w:rsidRPr="005E6D1A">
        <w:t xml:space="preserve"> </w:t>
      </w:r>
      <w:r w:rsidRPr="00CD11AC">
        <w:t xml:space="preserve">if the activities are categorically excluded subject to </w:t>
      </w:r>
      <w:r>
        <w:t>S</w:t>
      </w:r>
      <w:r w:rsidRPr="00CD11AC">
        <w:t>ec. 58.5 which clearly establishes:</w:t>
      </w:r>
    </w:p>
    <w:p w14:paraId="03D4A30D" w14:textId="77777777" w:rsidR="005275EE" w:rsidRPr="00F91231" w:rsidRDefault="005275EE" w:rsidP="004604E6">
      <w:pPr>
        <w:pStyle w:val="Bullet2"/>
        <w:numPr>
          <w:ilvl w:val="1"/>
          <w:numId w:val="10"/>
        </w:numPr>
      </w:pPr>
      <w:r w:rsidRPr="00F91231">
        <w:t>The purpose of the project</w:t>
      </w:r>
      <w:r>
        <w:t xml:space="preserve"> and the geographic area where the unspecified sites will be located</w:t>
      </w:r>
      <w:r w:rsidRPr="00F91231">
        <w:t>.</w:t>
      </w:r>
    </w:p>
    <w:p w14:paraId="0F7FDB67" w14:textId="77777777" w:rsidR="005275EE" w:rsidRPr="00F91231" w:rsidRDefault="005275EE" w:rsidP="004604E6">
      <w:pPr>
        <w:pStyle w:val="Bullet2"/>
        <w:numPr>
          <w:ilvl w:val="1"/>
          <w:numId w:val="10"/>
        </w:numPr>
      </w:pPr>
      <w:r>
        <w:t>C</w:t>
      </w:r>
      <w:r w:rsidRPr="00F91231">
        <w:t xml:space="preserve">onclusions about environmental impacts and compliance with applicable laws and authorities which will not change no matter where the project is located within the geographic area that is the focus of the area-wide review.  </w:t>
      </w:r>
      <w:r>
        <w:t>Examples include</w:t>
      </w:r>
      <w:r w:rsidRPr="00F91231">
        <w:t xml:space="preserve"> floodplains, wetlands, endangered species, </w:t>
      </w:r>
      <w:r>
        <w:t>and</w:t>
      </w:r>
      <w:r w:rsidRPr="00F91231">
        <w:t xml:space="preserve"> impact categories that are not applicable or relevant.  There must be justification of all such conclusions.</w:t>
      </w:r>
    </w:p>
    <w:p w14:paraId="3710C24E" w14:textId="77777777" w:rsidR="005275EE" w:rsidRDefault="005275EE" w:rsidP="004604E6">
      <w:pPr>
        <w:pStyle w:val="Bullet2"/>
        <w:numPr>
          <w:ilvl w:val="1"/>
          <w:numId w:val="10"/>
        </w:numPr>
      </w:pPr>
      <w:r w:rsidRPr="00F91231">
        <w:t xml:space="preserve">Where conclusions cannot be reached until </w:t>
      </w:r>
      <w:r>
        <w:t xml:space="preserve">a </w:t>
      </w:r>
      <w:r w:rsidRPr="00F91231">
        <w:t>specific site become</w:t>
      </w:r>
      <w:r>
        <w:t>s</w:t>
      </w:r>
      <w:r w:rsidRPr="00F91231">
        <w:t xml:space="preserve"> know</w:t>
      </w:r>
      <w:r>
        <w:t>n</w:t>
      </w:r>
      <w:r w:rsidRPr="00F91231">
        <w:t xml:space="preserve">, </w:t>
      </w:r>
      <w:r w:rsidRPr="003A1AA3">
        <w:t xml:space="preserve">devise </w:t>
      </w:r>
      <w:r>
        <w:t xml:space="preserve">written </w:t>
      </w:r>
      <w:r w:rsidRPr="003A1AA3">
        <w:t xml:space="preserve">strategies </w:t>
      </w:r>
      <w:r>
        <w:t xml:space="preserve">and criteria </w:t>
      </w:r>
      <w:r w:rsidRPr="003A1AA3">
        <w:t xml:space="preserve">for </w:t>
      </w:r>
      <w:r>
        <w:t xml:space="preserve">selecting specific sites/activities and </w:t>
      </w:r>
      <w:r w:rsidRPr="003A1AA3">
        <w:t xml:space="preserve">making certain the applicable laws and authorities identified at 24 CFR Part 58.5 or impact categories contained in the </w:t>
      </w:r>
      <w:r>
        <w:rPr>
          <w:i/>
        </w:rPr>
        <w:t>Environmental Assessment</w:t>
      </w:r>
      <w:r w:rsidRPr="003A1AA3">
        <w:t xml:space="preserve"> </w:t>
      </w:r>
      <w:r w:rsidRPr="003A1AA3">
        <w:rPr>
          <w:szCs w:val="24"/>
        </w:rPr>
        <w:t xml:space="preserve">or </w:t>
      </w:r>
      <w:r>
        <w:rPr>
          <w:i/>
        </w:rPr>
        <w:t>Environmental Review for CEST</w:t>
      </w:r>
      <w:r w:rsidRPr="005E6D1A">
        <w:t xml:space="preserve"> </w:t>
      </w:r>
      <w:r w:rsidRPr="003A1AA3">
        <w:t xml:space="preserve">are addressed </w:t>
      </w:r>
      <w:r>
        <w:t xml:space="preserve">or mitigated </w:t>
      </w:r>
      <w:r w:rsidRPr="003A1AA3">
        <w:t xml:space="preserve">when the specific site is identified. </w:t>
      </w:r>
      <w:r>
        <w:t xml:space="preserve"> Include justification and/or evidence demonstrating why some factors need not be further evaluated when the specific site is identified.</w:t>
      </w:r>
    </w:p>
    <w:p w14:paraId="18FAF38B" w14:textId="77777777" w:rsidR="005275EE" w:rsidRPr="009E1263" w:rsidRDefault="005275EE" w:rsidP="005275EE">
      <w:pPr>
        <w:pStyle w:val="Bullet10"/>
        <w:rPr>
          <w:i/>
        </w:rPr>
      </w:pPr>
      <w:r>
        <w:t xml:space="preserve">Step 2 - </w:t>
      </w:r>
      <w:r w:rsidRPr="005E6D1A">
        <w:t xml:space="preserve">Publish Appropriate Notices </w:t>
      </w:r>
      <w:r>
        <w:t>and Request Release of Funds (if applicable).</w:t>
      </w:r>
      <w:r w:rsidRPr="005E6D1A">
        <w:t xml:space="preserve"> Publish applicable environmental notices for projects that are </w:t>
      </w:r>
      <w:r w:rsidRPr="005E6D1A">
        <w:lastRenderedPageBreak/>
        <w:t>subject to Part 58.5 (e.g., Floodplains or Wetlands Notice, historic properties), as well as required public notices (</w:t>
      </w:r>
      <w:r w:rsidRPr="00CD215B">
        <w:rPr>
          <w:i/>
        </w:rPr>
        <w:t>Combined FONSI/NOI-RROF, or NOI/R</w:t>
      </w:r>
      <w:r w:rsidRPr="009E1263">
        <w:rPr>
          <w:i/>
        </w:rPr>
        <w:t>ROF).</w:t>
      </w:r>
    </w:p>
    <w:p w14:paraId="6E5DE0BA" w14:textId="5C738950" w:rsidR="005275EE" w:rsidRDefault="005275EE" w:rsidP="004604E6">
      <w:pPr>
        <w:pStyle w:val="Bullet2"/>
        <w:numPr>
          <w:ilvl w:val="1"/>
          <w:numId w:val="10"/>
        </w:numPr>
      </w:pPr>
      <w:r w:rsidRPr="009C0C47">
        <w:rPr>
          <w:noProof/>
        </w:rPr>
        <mc:AlternateContent>
          <mc:Choice Requires="wps">
            <w:drawing>
              <wp:anchor distT="0" distB="0" distL="114300" distR="114300" simplePos="0" relativeHeight="251665408" behindDoc="1" locked="0" layoutInCell="0" allowOverlap="1" wp14:anchorId="47C6FFB2" wp14:editId="384C2B3A">
                <wp:simplePos x="0" y="0"/>
                <wp:positionH relativeFrom="column">
                  <wp:posOffset>3997325</wp:posOffset>
                </wp:positionH>
                <wp:positionV relativeFrom="paragraph">
                  <wp:posOffset>938530</wp:posOffset>
                </wp:positionV>
                <wp:extent cx="1764665" cy="1819910"/>
                <wp:effectExtent l="15875" t="14605" r="86360" b="89535"/>
                <wp:wrapTight wrapText="left">
                  <wp:wrapPolygon edited="0">
                    <wp:start x="-93" y="-75"/>
                    <wp:lineTo x="-93" y="21675"/>
                    <wp:lineTo x="466" y="22203"/>
                    <wp:lineTo x="22447" y="22203"/>
                    <wp:lineTo x="22447" y="528"/>
                    <wp:lineTo x="21787" y="-75"/>
                    <wp:lineTo x="-93" y="-75"/>
                  </wp:wrapPolygon>
                </wp:wrapTight>
                <wp:docPr id="6713229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81991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7D8F5AAB" w14:textId="0FF31A2D" w:rsidR="00836732" w:rsidRDefault="00836732" w:rsidP="005275EE">
                            <w:pPr>
                              <w:pStyle w:val="Normal1"/>
                              <w:jc w:val="left"/>
                            </w:pPr>
                            <w:r>
                              <w:t>Recipients proposing to adopt the non-specific site review strategy must consult with the State’s Environmental Compliance Specialist prior to finalizing the strategy.</w:t>
                            </w:r>
                          </w:p>
                        </w:txbxContent>
                      </wps:txbx>
                      <wps:bodyPr rot="0" vert="horz" wrap="square" lIns="45720" tIns="27432" rIns="4572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6FFB2" id="Text Box 24" o:spid="_x0000_s1033" type="#_x0000_t202" style="position:absolute;left:0;text-align:left;margin-left:314.75pt;margin-top:73.9pt;width:138.95pt;height:14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" o:allowincell="f" strokeweight="1.5pt">
                <v:shadow on="t" offset="6pt,6pt"/>
                <v:textbox inset="3.6pt,2.16pt,3.6pt,2.16pt">
                  <w:txbxContent>
                    <w:p w14:paraId="7D8F5AAB" w14:textId="0FF31A2D" w:rsidR="00836732" w:rsidRDefault="00836732" w:rsidP="005275EE">
                      <w:pPr>
                        <w:pStyle w:val="Normal1"/>
                        <w:jc w:val="left"/>
                      </w:pPr>
                      <w:r>
                        <w:t>Recipients proposing to adopt the non-specific site review strategy must consult with the State’s Environmental Compliance Specialist prior to finalizing the strategy.</w:t>
                      </w:r>
                    </w:p>
                  </w:txbxContent>
                </v:textbox>
                <w10:wrap type="tight" side="left"/>
              </v:shape>
            </w:pict>
          </mc:Fallback>
        </mc:AlternateContent>
      </w:r>
      <w:r w:rsidRPr="00A434BC">
        <w:t xml:space="preserve">Based upon </w:t>
      </w:r>
      <w:r w:rsidRPr="00A434BC">
        <w:rPr>
          <w:szCs w:val="24"/>
        </w:rPr>
        <w:t>the environmental concl</w:t>
      </w:r>
      <w:r w:rsidRPr="00A434BC">
        <w:t>usions reached about the geographic area, and the strategies developed to comply</w:t>
      </w:r>
      <w:r>
        <w:t xml:space="preserve"> with the remaining applicable laws, authorities, and impact categories for project sites identified </w:t>
      </w:r>
      <w:proofErr w:type="gramStart"/>
      <w:r>
        <w:t>later</w:t>
      </w:r>
      <w:r w:rsidR="00863192">
        <w:t xml:space="preserve"> </w:t>
      </w:r>
      <w:r>
        <w:t>on</w:t>
      </w:r>
      <w:proofErr w:type="gramEnd"/>
      <w:r>
        <w:t xml:space="preserve">, the recipient may publish the applicable public notice (i.e., Combined </w:t>
      </w:r>
      <w:r w:rsidRPr="00CD11AC">
        <w:rPr>
          <w:i/>
        </w:rPr>
        <w:t>FONSI/NOI-RROF</w:t>
      </w:r>
      <w:r>
        <w:t xml:space="preserve"> or </w:t>
      </w:r>
      <w:r>
        <w:rPr>
          <w:i/>
        </w:rPr>
        <w:t>NOI/RROF</w:t>
      </w:r>
      <w:r>
        <w:t xml:space="preserve">).  </w:t>
      </w:r>
    </w:p>
    <w:p w14:paraId="2283397B" w14:textId="77777777" w:rsidR="005275EE" w:rsidRPr="009C0C47" w:rsidRDefault="005275EE" w:rsidP="004604E6">
      <w:pPr>
        <w:pStyle w:val="Bullet2"/>
        <w:numPr>
          <w:ilvl w:val="1"/>
          <w:numId w:val="10"/>
        </w:numPr>
      </w:pPr>
      <w:r w:rsidRPr="009C0C47">
        <w:t>The public notice (i.e</w:t>
      </w:r>
      <w:r>
        <w:t>.</w:t>
      </w:r>
      <w:r w:rsidRPr="009C0C47">
        <w:t xml:space="preserve">, </w:t>
      </w:r>
      <w:r w:rsidRPr="009C0C47">
        <w:rPr>
          <w:i/>
        </w:rPr>
        <w:t>FONSI/NOI-RROF</w:t>
      </w:r>
      <w:r w:rsidRPr="009C0C47">
        <w:t xml:space="preserve"> or </w:t>
      </w:r>
      <w:r w:rsidRPr="009C0C47">
        <w:rPr>
          <w:i/>
        </w:rPr>
        <w:t>NOI/RROF</w:t>
      </w:r>
      <w:r w:rsidRPr="009C0C47">
        <w:t xml:space="preserve">) must outline the proposed activities and identify the specific environmental factors that will be evaluated once a specific site is identified. </w:t>
      </w:r>
    </w:p>
    <w:p w14:paraId="1F40EB8B" w14:textId="77777777" w:rsidR="005275EE" w:rsidRPr="009C0C47" w:rsidRDefault="005275EE" w:rsidP="004604E6">
      <w:pPr>
        <w:pStyle w:val="Bullet2"/>
        <w:numPr>
          <w:ilvl w:val="1"/>
          <w:numId w:val="10"/>
        </w:numPr>
      </w:pPr>
      <w:r w:rsidRPr="009C0C47">
        <w:t xml:space="preserve">It must also include a statement that any activities which do not comply with the </w:t>
      </w:r>
      <w:r w:rsidRPr="009C0C47">
        <w:rPr>
          <w:szCs w:val="24"/>
        </w:rPr>
        <w:t xml:space="preserve">review’s </w:t>
      </w:r>
      <w:r w:rsidRPr="009C0C47">
        <w:t xml:space="preserve">acceptability criteria for activities or sites will be excluded.  If these activities are to be pursued, a separate review must be completed </w:t>
      </w:r>
      <w:r>
        <w:t xml:space="preserve">and cleared </w:t>
      </w:r>
      <w:r w:rsidRPr="009C0C47">
        <w:t xml:space="preserve">before they </w:t>
      </w:r>
      <w:r>
        <w:t>can be</w:t>
      </w:r>
      <w:r w:rsidRPr="009C0C47">
        <w:t xml:space="preserve"> </w:t>
      </w:r>
      <w:r>
        <w:t>undertaken</w:t>
      </w:r>
      <w:r w:rsidRPr="009C0C47">
        <w:t>.</w:t>
      </w:r>
    </w:p>
    <w:p w14:paraId="1898EE64" w14:textId="63DC8AAC" w:rsidR="005275EE" w:rsidRPr="003A1AA3" w:rsidRDefault="005275EE" w:rsidP="005275EE">
      <w:pPr>
        <w:pStyle w:val="Bullet10"/>
      </w:pPr>
      <w:r w:rsidRPr="005E6D1A">
        <w:t xml:space="preserve">Step 3 - </w:t>
      </w:r>
      <w:r>
        <w:t>C</w:t>
      </w:r>
      <w:r w:rsidRPr="003A1AA3">
        <w:t>omplete a</w:t>
      </w:r>
      <w:r w:rsidRPr="003A1AA3">
        <w:rPr>
          <w:i/>
        </w:rPr>
        <w:t xml:space="preserve"> </w:t>
      </w:r>
      <w:hyperlink r:id="rId101" w:history="1">
        <w:r w:rsidR="006D2D15" w:rsidRPr="00E718DB">
          <w:rPr>
            <w:rStyle w:val="Hyperlink"/>
            <w:i/>
          </w:rPr>
          <w:t>Site-Specific</w:t>
        </w:r>
        <w:r w:rsidRPr="00E718DB">
          <w:rPr>
            <w:rStyle w:val="Hyperlink"/>
            <w:i/>
          </w:rPr>
          <w:t xml:space="preserve"> Review Checklist</w:t>
        </w:r>
      </w:hyperlink>
      <w:r w:rsidRPr="003A1AA3">
        <w:t xml:space="preserve"> </w:t>
      </w:r>
      <w:r>
        <w:t>o</w:t>
      </w:r>
      <w:r w:rsidRPr="003A1AA3">
        <w:t>nce specific project sites become known, prior to committing or expending funds, and include the completed form in the ERR.</w:t>
      </w:r>
      <w:r>
        <w:t xml:space="preserve"> This Tier Two checklist does not require submission to </w:t>
      </w:r>
      <w:r w:rsidR="00E718DB">
        <w:t>the State.</w:t>
      </w:r>
    </w:p>
    <w:p w14:paraId="3DFE4353" w14:textId="1EC0D369" w:rsidR="005275EE" w:rsidRPr="009E3186" w:rsidRDefault="005275EE" w:rsidP="004604E6">
      <w:pPr>
        <w:pStyle w:val="Bullet2"/>
        <w:numPr>
          <w:ilvl w:val="0"/>
          <w:numId w:val="0"/>
        </w:numPr>
        <w:rPr>
          <w:szCs w:val="24"/>
        </w:rPr>
      </w:pPr>
      <w:r w:rsidRPr="009E3186">
        <w:t xml:space="preserve">The strategies/mitigation measures identified in the Tier One review will be used to evaluate the individual sites.  The checklist should cover all compliance areas that were not resolved as part of the area-wide Tier One review.  </w:t>
      </w:r>
      <w:r w:rsidRPr="009E3186">
        <w:rPr>
          <w:szCs w:val="24"/>
        </w:rPr>
        <w:t xml:space="preserve">All compliance requirements satisfactorily resolved </w:t>
      </w:r>
      <w:r w:rsidR="001E787F">
        <w:rPr>
          <w:szCs w:val="24"/>
        </w:rPr>
        <w:t>during a</w:t>
      </w:r>
      <w:r w:rsidRPr="009E3186">
        <w:rPr>
          <w:szCs w:val="24"/>
        </w:rPr>
        <w:t xml:space="preserve"> Tier One review are excluded from any additional examination or consideration (i.e., findings of no impact or impacts resolved through mitigation requirements).</w:t>
      </w:r>
    </w:p>
    <w:p w14:paraId="5E69AE8D" w14:textId="06224D75" w:rsidR="005275EE" w:rsidRPr="005E6D1A" w:rsidRDefault="005275EE" w:rsidP="005275EE">
      <w:pPr>
        <w:pStyle w:val="Bullet10"/>
      </w:pPr>
      <w:r>
        <w:t>Throughout the process, the ERR must be documented</w:t>
      </w:r>
      <w:r w:rsidR="004221C8">
        <w:t xml:space="preserve"> </w:t>
      </w:r>
      <w:r w:rsidRPr="005E6D1A">
        <w:t>as follows:</w:t>
      </w:r>
    </w:p>
    <w:p w14:paraId="175A4A8A" w14:textId="77777777" w:rsidR="005275EE" w:rsidRDefault="005275EE" w:rsidP="004604E6">
      <w:pPr>
        <w:pStyle w:val="Bullet2"/>
        <w:numPr>
          <w:ilvl w:val="1"/>
          <w:numId w:val="10"/>
        </w:numPr>
      </w:pPr>
      <w:r>
        <w:t>Include a copy of the area-wide review and strategies, with documentation supporting the environmental findings.</w:t>
      </w:r>
    </w:p>
    <w:p w14:paraId="7DEA5883" w14:textId="77777777" w:rsidR="005275EE" w:rsidRDefault="005275EE" w:rsidP="004604E6">
      <w:pPr>
        <w:pStyle w:val="Bullet2"/>
        <w:numPr>
          <w:ilvl w:val="1"/>
          <w:numId w:val="10"/>
        </w:numPr>
      </w:pPr>
      <w:r>
        <w:t>Place a record of each project action (i.e., site specific) in the ERR.</w:t>
      </w:r>
    </w:p>
    <w:p w14:paraId="22528544" w14:textId="77777777" w:rsidR="005275EE" w:rsidRPr="003816E6" w:rsidRDefault="005275EE" w:rsidP="004604E6">
      <w:pPr>
        <w:pStyle w:val="Bullet2"/>
        <w:numPr>
          <w:ilvl w:val="1"/>
          <w:numId w:val="10"/>
        </w:numPr>
      </w:pPr>
      <w:r w:rsidRPr="003816E6">
        <w:t>Place evidence in the ERR documenting that the adopted strategy has been applied for each action.</w:t>
      </w:r>
    </w:p>
    <w:p w14:paraId="52CF35ED" w14:textId="77777777" w:rsidR="005275EE" w:rsidRPr="00C2485F" w:rsidRDefault="005275EE" w:rsidP="004604E6">
      <w:pPr>
        <w:pStyle w:val="Bullet2"/>
        <w:numPr>
          <w:ilvl w:val="1"/>
          <w:numId w:val="10"/>
        </w:numPr>
      </w:pPr>
      <w:r w:rsidRPr="00C2485F">
        <w:t xml:space="preserve">Document the projects </w:t>
      </w:r>
      <w:proofErr w:type="gramStart"/>
      <w:r w:rsidRPr="00C2485F">
        <w:t>are in compliance with</w:t>
      </w:r>
      <w:proofErr w:type="gramEnd"/>
      <w:r w:rsidRPr="00C2485F">
        <w:t xml:space="preserve"> the other Federal requirements listed at Sec. 58.6. </w:t>
      </w:r>
    </w:p>
    <w:p w14:paraId="7254B616" w14:textId="77777777" w:rsidR="005275EE" w:rsidRPr="002B6E83" w:rsidRDefault="005275EE" w:rsidP="004604E6">
      <w:pPr>
        <w:pStyle w:val="Bullet2"/>
        <w:numPr>
          <w:ilvl w:val="1"/>
          <w:numId w:val="10"/>
        </w:numPr>
      </w:pPr>
      <w:r>
        <w:lastRenderedPageBreak/>
        <w:t>Place a finding in the ERR which states that implementation of the action will not affect the</w:t>
      </w:r>
      <w:r>
        <w:rPr>
          <w:color w:val="0000FF"/>
          <w:szCs w:val="24"/>
        </w:rPr>
        <w:t xml:space="preserve"> </w:t>
      </w:r>
      <w:r w:rsidRPr="009F2878">
        <w:rPr>
          <w:szCs w:val="24"/>
        </w:rPr>
        <w:t>environmental findings.</w:t>
      </w:r>
    </w:p>
    <w:p w14:paraId="36DA66E6" w14:textId="77777777" w:rsidR="005275EE" w:rsidRDefault="005275EE" w:rsidP="004604E6">
      <w:pPr>
        <w:pStyle w:val="Bullet2"/>
        <w:numPr>
          <w:ilvl w:val="1"/>
          <w:numId w:val="10"/>
        </w:numPr>
      </w:pPr>
      <w:r>
        <w:t xml:space="preserve">Any activities or sites falling outside the acceptability criteria specified in both the area-wide and </w:t>
      </w:r>
      <w:proofErr w:type="gramStart"/>
      <w:r w:rsidRPr="00A434BC">
        <w:t>site specific</w:t>
      </w:r>
      <w:proofErr w:type="gramEnd"/>
      <w:r>
        <w:t xml:space="preserve"> review components must have separate environmental reviews prepared.</w:t>
      </w:r>
    </w:p>
    <w:p w14:paraId="73AA5799" w14:textId="77777777" w:rsidR="005275EE" w:rsidRDefault="005275EE" w:rsidP="004604E6">
      <w:pPr>
        <w:pStyle w:val="Bullet2"/>
        <w:numPr>
          <w:ilvl w:val="1"/>
          <w:numId w:val="10"/>
        </w:numPr>
      </w:pPr>
      <w:r w:rsidRPr="00A434BC">
        <w:t>Subsequent site-specific reviews will not require notices or approval from the state, unless the certifying officer determines there are unanticipated impacts or impacts not adequately addressed in the prior tiered review.  There must be written documentation of compliance before funds are committed to specific sites.</w:t>
      </w:r>
    </w:p>
    <w:p w14:paraId="68EF84D0" w14:textId="77777777" w:rsidR="005275EE" w:rsidRDefault="005275EE" w:rsidP="004604E6">
      <w:pPr>
        <w:pStyle w:val="Bullet2"/>
        <w:numPr>
          <w:ilvl w:val="1"/>
          <w:numId w:val="10"/>
        </w:numPr>
      </w:pPr>
      <w:r>
        <w:t>HUD generally considers the ERR valid for five years.</w:t>
      </w:r>
    </w:p>
    <w:p w14:paraId="4BA222DB" w14:textId="6D621A27" w:rsidR="00CF7813" w:rsidRDefault="00CF7813">
      <w:pPr>
        <w:spacing w:before="0" w:after="0"/>
        <w:rPr>
          <w:rFonts w:ascii="Tahoma" w:hAnsi="Tahoma"/>
        </w:rPr>
      </w:pPr>
      <w:r>
        <w:br w:type="page"/>
      </w:r>
    </w:p>
    <w:p w14:paraId="0791ECC0" w14:textId="23337DDE" w:rsidR="00804AE5" w:rsidRPr="00B863E7" w:rsidRDefault="00804AE5" w:rsidP="004604E6">
      <w:pPr>
        <w:pStyle w:val="Heading3"/>
        <w:jc w:val="center"/>
      </w:pPr>
      <w:bookmarkStart w:id="30" w:name="_Appendix_B"/>
      <w:bookmarkEnd w:id="30"/>
      <w:r>
        <w:lastRenderedPageBreak/>
        <w:t>Appendix B</w:t>
      </w:r>
    </w:p>
    <w:p w14:paraId="5CF18CA6" w14:textId="49109265" w:rsidR="00CA4416" w:rsidRDefault="00CA4416" w:rsidP="00CA4416">
      <w:pPr>
        <w:pStyle w:val="Heading4"/>
      </w:pPr>
      <w:r>
        <w:t>Compliance with Floodplain/Wetlands Requirements</w:t>
      </w:r>
    </w:p>
    <w:p w14:paraId="5F66DA01" w14:textId="77777777" w:rsidR="00CA4416" w:rsidRDefault="00CA4416" w:rsidP="00315A41">
      <w:pPr>
        <w:pStyle w:val="Normal1"/>
        <w:spacing w:before="0"/>
        <w:rPr>
          <w:u w:val="single"/>
        </w:rPr>
      </w:pPr>
    </w:p>
    <w:p w14:paraId="72C74624" w14:textId="75027603" w:rsidR="00315A41" w:rsidRDefault="00315A41" w:rsidP="00315A41">
      <w:pPr>
        <w:pStyle w:val="Normal1"/>
        <w:spacing w:before="0"/>
      </w:pPr>
      <w:r>
        <w:t xml:space="preserve">If any activity is proposed to take place in </w:t>
      </w:r>
      <w:r w:rsidR="00A534DD">
        <w:t xml:space="preserve">the Federal Flood Risk Management Standard (FFRMS) floodplain </w:t>
      </w:r>
      <w:r>
        <w:t xml:space="preserve">or construction in a designated wetland is proposed, the implementation of a specific decision-making process is required for compliance with Executive Orders </w:t>
      </w:r>
      <w:r w:rsidR="00A534DD">
        <w:t xml:space="preserve">13690, </w:t>
      </w:r>
      <w:hyperlink r:id="rId102" w:history="1">
        <w:r w:rsidR="00D91F75" w:rsidRPr="00D91F75">
          <w:rPr>
            <w:rStyle w:val="Hyperlink"/>
          </w:rPr>
          <w:t>11988</w:t>
        </w:r>
      </w:hyperlink>
      <w:r>
        <w:t xml:space="preserve"> and </w:t>
      </w:r>
      <w:hyperlink r:id="rId103" w:history="1">
        <w:r w:rsidRPr="00D91F75">
          <w:rPr>
            <w:rStyle w:val="Hyperlink"/>
          </w:rPr>
          <w:t>11990</w:t>
        </w:r>
      </w:hyperlink>
      <w:r>
        <w:t>.  This procedure is commonly referred to as the “eight-step process.”  A flow chart depicting the decision</w:t>
      </w:r>
      <w:r w:rsidR="00331185">
        <w:t>-</w:t>
      </w:r>
      <w:r>
        <w:t xml:space="preserve">making process </w:t>
      </w:r>
      <w:r w:rsidR="001C10D9">
        <w:t xml:space="preserve">is located at the following link: </w:t>
      </w:r>
      <w:hyperlink r:id="rId104" w:history="1">
        <w:r w:rsidR="001C10D9" w:rsidRPr="001C10D9">
          <w:rPr>
            <w:rFonts w:ascii="Arial" w:hAnsi="Arial"/>
            <w:color w:val="0000FF"/>
            <w:u w:val="single"/>
          </w:rPr>
          <w:t>8 Step Decision-Making Process for Executive Order 11988 (hudexchange.info)</w:t>
        </w:r>
      </w:hyperlink>
      <w:r>
        <w:t>.  The steps are summarized below.</w:t>
      </w:r>
    </w:p>
    <w:p w14:paraId="61DAB8FB" w14:textId="07026684" w:rsidR="00315A41" w:rsidRPr="00C65BC4" w:rsidRDefault="00315A41" w:rsidP="009C5C40">
      <w:pPr>
        <w:jc w:val="both"/>
        <w:rPr>
          <w:rFonts w:ascii="Tahoma" w:hAnsi="Tahoma" w:cs="Tahoma"/>
          <w:bCs/>
        </w:rPr>
      </w:pPr>
      <w:r w:rsidRPr="00C65BC4">
        <w:rPr>
          <w:rFonts w:ascii="Tahoma" w:hAnsi="Tahoma" w:cs="Tahoma"/>
          <w:bCs/>
        </w:rPr>
        <w:t>Due to the use of HUD funds, compliance with Executive Order 11990 through completion of the 8-step process will be required for projects with wetland impacts regardless of whether the USACE requires or has authorized a general or regional Section 404 permit.  An individual Section 404 permit may be used to comply with steps 1 through 5 of the 8-step process provided the following conditions are met:  a.)  the individual permit has been authorized, b.) no construction will occur in the 100-year floodplain (or 500-year for critical actions),</w:t>
      </w:r>
      <w:r w:rsidR="00E36817">
        <w:rPr>
          <w:rFonts w:ascii="Tahoma" w:hAnsi="Tahoma" w:cs="Tahoma"/>
          <w:bCs/>
        </w:rPr>
        <w:t xml:space="preserve"> and</w:t>
      </w:r>
      <w:r w:rsidRPr="00C65BC4">
        <w:rPr>
          <w:rFonts w:ascii="Tahoma" w:hAnsi="Tahoma" w:cs="Tahoma"/>
          <w:bCs/>
        </w:rPr>
        <w:t xml:space="preserve"> c.) all the affected wetlands (jurisdictional and non-jurisdictional) are covered by the individual permit.</w:t>
      </w:r>
    </w:p>
    <w:p w14:paraId="1EF75039" w14:textId="77777777" w:rsidR="00315A41" w:rsidRDefault="00315A41" w:rsidP="009C5C40">
      <w:pPr>
        <w:jc w:val="both"/>
      </w:pPr>
      <w:r w:rsidRPr="00C65BC4">
        <w:rPr>
          <w:rFonts w:ascii="Tahoma" w:hAnsi="Tahoma" w:cs="Tahoma"/>
          <w:bCs/>
        </w:rPr>
        <w:t xml:space="preserve">For floodplains, an abbreviated five-step process, which excludes steps 2, 3, and 7 of the full eight-step process, must be completed for activities covered under 24 CFR 55.12(a).  </w:t>
      </w:r>
      <w:r w:rsidRPr="00C65BC4">
        <w:t>The</w:t>
      </w:r>
      <w:r w:rsidRPr="00403A2B">
        <w:t xml:space="preserve"> eight-step process is not required for activities excluded under 24</w:t>
      </w:r>
      <w:r>
        <w:t xml:space="preserve"> CFR § 55.12(b) and (c).</w:t>
      </w:r>
    </w:p>
    <w:p w14:paraId="10CD68C9" w14:textId="1C3A9303" w:rsidR="00315A41" w:rsidRPr="006B67F7" w:rsidRDefault="00315A41" w:rsidP="009C5C40">
      <w:pPr>
        <w:jc w:val="both"/>
        <w:rPr>
          <w:rFonts w:ascii="Tahoma" w:hAnsi="Tahoma" w:cs="Tahoma"/>
        </w:rPr>
      </w:pPr>
      <w:r w:rsidRPr="006B67F7">
        <w:rPr>
          <w:rFonts w:ascii="Tahoma" w:hAnsi="Tahoma" w:cs="Tahoma"/>
        </w:rPr>
        <w:t>Per 24 CFR 55.1, HUD financial assistance may not generally be used for any activities in a floodway, other than functionally dependent use (</w:t>
      </w:r>
      <w:proofErr w:type="gramStart"/>
      <w:r w:rsidRPr="006B67F7">
        <w:rPr>
          <w:rFonts w:ascii="Tahoma" w:hAnsi="Tahoma" w:cs="Tahoma"/>
        </w:rPr>
        <w:t>i.e.</w:t>
      </w:r>
      <w:proofErr w:type="gramEnd"/>
      <w:r w:rsidRPr="006B67F7">
        <w:rPr>
          <w:rFonts w:ascii="Tahoma" w:hAnsi="Tahoma" w:cs="Tahoma"/>
        </w:rPr>
        <w:t xml:space="preserve"> marina, port facility, bridge, dam)</w:t>
      </w:r>
      <w:r w:rsidR="00560D78">
        <w:rPr>
          <w:rFonts w:ascii="Tahoma" w:hAnsi="Tahoma" w:cs="Tahoma"/>
        </w:rPr>
        <w:t xml:space="preserve"> unless otherwise outlined in the regulations at 55.8</w:t>
      </w:r>
      <w:r w:rsidRPr="006B67F7">
        <w:rPr>
          <w:rFonts w:ascii="Tahoma" w:hAnsi="Tahoma" w:cs="Tahoma"/>
        </w:rPr>
        <w:t>.  Federal assistance may not be used in a coastal high hazard area (V zone) if the project is a critical action.</w:t>
      </w:r>
    </w:p>
    <w:p w14:paraId="3339A4D6" w14:textId="6F01F383" w:rsidR="00315A41" w:rsidRPr="006B67F7" w:rsidRDefault="00315A41" w:rsidP="00315A41">
      <w:pPr>
        <w:jc w:val="both"/>
        <w:rPr>
          <w:rFonts w:ascii="Tahoma" w:hAnsi="Tahoma" w:cs="Tahoma"/>
        </w:rPr>
      </w:pPr>
      <w:r w:rsidRPr="006B67F7">
        <w:rPr>
          <w:rFonts w:ascii="Tahoma" w:hAnsi="Tahoma" w:cs="Tahoma"/>
        </w:rPr>
        <w:t xml:space="preserve">HUD Notice </w:t>
      </w:r>
      <w:hyperlink r:id="rId105" w:history="1">
        <w:r w:rsidRPr="00E91941">
          <w:rPr>
            <w:rStyle w:val="Hyperlink"/>
            <w:rFonts w:ascii="Tahoma" w:hAnsi="Tahoma" w:cs="Tahoma"/>
          </w:rPr>
          <w:t>CPD-17-013</w:t>
        </w:r>
      </w:hyperlink>
      <w:r w:rsidRPr="006B67F7">
        <w:rPr>
          <w:rFonts w:ascii="Tahoma" w:hAnsi="Tahoma" w:cs="Tahoma"/>
        </w:rPr>
        <w:t xml:space="preserve"> states that construction, installation, or repair of linear infrastructure locate</w:t>
      </w:r>
      <w:r>
        <w:rPr>
          <w:rFonts w:ascii="Tahoma" w:hAnsi="Tahoma" w:cs="Tahoma"/>
        </w:rPr>
        <w:t>d</w:t>
      </w:r>
      <w:r w:rsidRPr="006B67F7">
        <w:rPr>
          <w:rFonts w:ascii="Tahoma" w:hAnsi="Tahoma" w:cs="Tahoma"/>
        </w:rPr>
        <w:t xml:space="preserve"> entirely below ground level or entirely above base flood elevation (BFE) may comply with Part 55 if there is no new construction or ground disturbance within the floodway.  Underground pipelines may pass under a floodway if installed by construction technology such as directional drilling or other technology that would not disturb the stream or floodway.  Above</w:t>
      </w:r>
      <w:r>
        <w:rPr>
          <w:rFonts w:ascii="Tahoma" w:hAnsi="Tahoma" w:cs="Tahoma"/>
        </w:rPr>
        <w:t xml:space="preserve"> </w:t>
      </w:r>
      <w:r w:rsidRPr="006B67F7">
        <w:rPr>
          <w:rFonts w:ascii="Tahoma" w:hAnsi="Tahoma" w:cs="Tahoma"/>
        </w:rPr>
        <w:t xml:space="preserve">ground lines may pass over a floodway by being attached to an existing bridge or supported by existing construction spanning the channel such as a utility bridge, pipeline bridges or pipe rack, </w:t>
      </w:r>
      <w:proofErr w:type="gramStart"/>
      <w:r w:rsidRPr="006B67F7">
        <w:rPr>
          <w:rFonts w:ascii="Tahoma" w:hAnsi="Tahoma" w:cs="Tahoma"/>
        </w:rPr>
        <w:t>as long as</w:t>
      </w:r>
      <w:proofErr w:type="gramEnd"/>
      <w:r w:rsidRPr="006B67F7">
        <w:rPr>
          <w:rFonts w:ascii="Tahoma" w:hAnsi="Tahoma" w:cs="Tahoma"/>
        </w:rPr>
        <w:t xml:space="preserve"> the pipeline is entirely </w:t>
      </w:r>
      <w:r>
        <w:rPr>
          <w:rFonts w:ascii="Tahoma" w:hAnsi="Tahoma" w:cs="Tahoma"/>
        </w:rPr>
        <w:t>above</w:t>
      </w:r>
      <w:r w:rsidRPr="006B67F7">
        <w:rPr>
          <w:rFonts w:ascii="Tahoma" w:hAnsi="Tahoma" w:cs="Tahoma"/>
        </w:rPr>
        <w:t xml:space="preserve"> BFE within the horizontal </w:t>
      </w:r>
      <w:r w:rsidRPr="006B67F7">
        <w:rPr>
          <w:rFonts w:ascii="Tahoma" w:hAnsi="Tahoma" w:cs="Tahoma"/>
        </w:rPr>
        <w:lastRenderedPageBreak/>
        <w:t xml:space="preserve">limits of the floodway and there are no new supports for the bridge, such as pillars, posts, or bents, within the floodway.  </w:t>
      </w:r>
      <w:r w:rsidR="00117607">
        <w:rPr>
          <w:rFonts w:ascii="Tahoma" w:hAnsi="Tahoma" w:cs="Tahoma"/>
        </w:rPr>
        <w:t xml:space="preserve">However, due to the new regulation change at 24 CFR Part 55, utilities are now allowed in the floodway under certain conditions (see 55.8 for additional information).  HUD has not issued revised guidance on this process </w:t>
      </w:r>
      <w:proofErr w:type="gramStart"/>
      <w:r w:rsidR="00117607">
        <w:rPr>
          <w:rFonts w:ascii="Tahoma" w:hAnsi="Tahoma" w:cs="Tahoma"/>
        </w:rPr>
        <w:t>at this time</w:t>
      </w:r>
      <w:proofErr w:type="gramEnd"/>
      <w:r w:rsidR="00117607">
        <w:rPr>
          <w:rFonts w:ascii="Tahoma" w:hAnsi="Tahoma" w:cs="Tahoma"/>
        </w:rPr>
        <w:t xml:space="preserve">; therefore, if you are contemplating an activity in a floodway area, contact </w:t>
      </w:r>
      <w:r w:rsidR="00121640">
        <w:rPr>
          <w:rFonts w:ascii="Tahoma" w:hAnsi="Tahoma" w:cs="Tahoma"/>
        </w:rPr>
        <w:t>the State</w:t>
      </w:r>
      <w:r w:rsidR="00117607">
        <w:rPr>
          <w:rFonts w:ascii="Tahoma" w:hAnsi="Tahoma" w:cs="Tahoma"/>
        </w:rPr>
        <w:t xml:space="preserve"> prior to completing the 8-Step process to ensure the activity qualifies under the new regulation. </w:t>
      </w:r>
    </w:p>
    <w:p w14:paraId="46D4B280" w14:textId="77777777" w:rsidR="00315A41" w:rsidRDefault="00315A41" w:rsidP="00315A41">
      <w:pPr>
        <w:pStyle w:val="Heading4"/>
      </w:pPr>
      <w:r>
        <w:t>Step 1: Determine if the Project is in a Floodplain or Wetland</w:t>
      </w:r>
    </w:p>
    <w:p w14:paraId="388C60B8" w14:textId="38E7DDEE" w:rsidR="00543880" w:rsidRDefault="00315A41" w:rsidP="00315A41">
      <w:pPr>
        <w:pStyle w:val="Normal1"/>
      </w:pPr>
      <w:r>
        <w:t xml:space="preserve">The first step is to determine if the project </w:t>
      </w:r>
      <w:proofErr w:type="gramStart"/>
      <w:r>
        <w:t>is located in</w:t>
      </w:r>
      <w:proofErr w:type="gramEnd"/>
      <w:r>
        <w:t xml:space="preserve"> the </w:t>
      </w:r>
      <w:r w:rsidR="00560D78">
        <w:t>FFMRS floodplain</w:t>
      </w:r>
      <w:r>
        <w:t xml:space="preserve"> </w:t>
      </w:r>
      <w:r w:rsidRPr="004F7E06">
        <w:t>or results in construction in a</w:t>
      </w:r>
      <w:r>
        <w:t xml:space="preserve"> wetland.  </w:t>
      </w:r>
      <w:r w:rsidR="00543880">
        <w:t xml:space="preserve">Use the tiered approach (CISA, 0.2PFA or FVA) to determine the FFRMS floodplain. </w:t>
      </w:r>
      <w:r w:rsidR="002914CF">
        <w:t xml:space="preserve">See </w:t>
      </w:r>
      <w:r w:rsidR="00543880">
        <w:t xml:space="preserve">the </w:t>
      </w:r>
      <w:r w:rsidR="002914CF">
        <w:t xml:space="preserve">Flow Chart below outlining the steps that need to be taken to </w:t>
      </w:r>
      <w:r w:rsidR="00543880">
        <w:t xml:space="preserve">correctly </w:t>
      </w:r>
      <w:r w:rsidR="002914CF">
        <w:t xml:space="preserve">identify </w:t>
      </w:r>
      <w:r w:rsidR="00543880">
        <w:t xml:space="preserve">the </w:t>
      </w:r>
      <w:r w:rsidR="002914CF">
        <w:t>FFRMS floodplain</w:t>
      </w:r>
      <w:r w:rsidR="00543880">
        <w:t xml:space="preserve"> for your project</w:t>
      </w:r>
      <w:r w:rsidR="002914CF">
        <w:t xml:space="preserve">.  Additional information can also be obtained from the HUD </w:t>
      </w:r>
      <w:r w:rsidR="00543880">
        <w:t>FFMRS Final Rule w</w:t>
      </w:r>
      <w:r w:rsidR="002914CF">
        <w:t xml:space="preserve">ebinar series on HUD Exchange here:  </w:t>
      </w:r>
      <w:hyperlink r:id="rId106" w:history="1">
        <w:r w:rsidR="00543880" w:rsidRPr="009B64F0">
          <w:rPr>
            <w:rStyle w:val="Hyperlink"/>
          </w:rPr>
          <w:t>https://www.hudexchange.info/news/ffrms-final-rule-webinar-series/</w:t>
        </w:r>
      </w:hyperlink>
      <w:r w:rsidR="00543880">
        <w:t>.</w:t>
      </w:r>
    </w:p>
    <w:p w14:paraId="5A847B08" w14:textId="6D4F41B7" w:rsidR="00543880" w:rsidRDefault="00543880" w:rsidP="00315A41">
      <w:pPr>
        <w:pStyle w:val="Normal1"/>
      </w:pPr>
      <w:r>
        <w:rPr>
          <w:noProof/>
        </w:rPr>
        <w:drawing>
          <wp:inline distT="0" distB="0" distL="0" distR="0" wp14:anchorId="14990E42" wp14:editId="5DCDDFC3">
            <wp:extent cx="6168044" cy="4053840"/>
            <wp:effectExtent l="0" t="0" r="4445" b="3810"/>
            <wp:docPr id="1071625711" name="Picture 1" descr="A diagram of a floodp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25711" name="Picture 1" descr="A diagram of a floodplain&#10;&#10;Description automatically generated"/>
                    <pic:cNvPicPr/>
                  </pic:nvPicPr>
                  <pic:blipFill>
                    <a:blip r:embed="rId107"/>
                    <a:stretch>
                      <a:fillRect/>
                    </a:stretch>
                  </pic:blipFill>
                  <pic:spPr>
                    <a:xfrm>
                      <a:off x="0" y="0"/>
                      <a:ext cx="6172900" cy="4057032"/>
                    </a:xfrm>
                    <a:prstGeom prst="rect">
                      <a:avLst/>
                    </a:prstGeom>
                  </pic:spPr>
                </pic:pic>
              </a:graphicData>
            </a:graphic>
          </wp:inline>
        </w:drawing>
      </w:r>
    </w:p>
    <w:p w14:paraId="5824A02A" w14:textId="77777777" w:rsidR="002914CF" w:rsidRDefault="002914CF" w:rsidP="00315A41">
      <w:pPr>
        <w:pStyle w:val="Normal1"/>
      </w:pPr>
    </w:p>
    <w:p w14:paraId="0D836607" w14:textId="2F693D79" w:rsidR="00315A41" w:rsidRDefault="00315A41" w:rsidP="00315A41">
      <w:pPr>
        <w:pStyle w:val="Bullet10"/>
      </w:pPr>
      <w:r>
        <w:lastRenderedPageBreak/>
        <w:t xml:space="preserve">For wetlands, </w:t>
      </w:r>
      <w:r w:rsidR="00E53D20">
        <w:t xml:space="preserve">determine if you will have any new construction activities (i.e., grading, clearing, draining, filling, diking, impounding, or related activities) that </w:t>
      </w:r>
      <w:r w:rsidR="00E53D20" w:rsidRPr="00AE6F1C">
        <w:rPr>
          <w:b/>
          <w:bCs/>
        </w:rPr>
        <w:t>directly</w:t>
      </w:r>
      <w:r w:rsidR="00E53D20">
        <w:t xml:space="preserve"> impact onsite wetlands.  If so, </w:t>
      </w:r>
      <w:r>
        <w:t xml:space="preserve">determine the presence or absence of wetlands, including non-jurisdictional wetlands, in accordance with the </w:t>
      </w:r>
      <w:hyperlink r:id="rId108" w:history="1">
        <w:r w:rsidRPr="006B36B0">
          <w:rPr>
            <w:rStyle w:val="Hyperlink"/>
          </w:rPr>
          <w:t xml:space="preserve">1987 </w:t>
        </w:r>
        <w:r w:rsidRPr="006B36B0">
          <w:rPr>
            <w:rStyle w:val="Hyperlink"/>
            <w:i/>
          </w:rPr>
          <w:t>US Army Corps of Engineers (USACE) Wetlands Delineation Manual</w:t>
        </w:r>
      </w:hyperlink>
      <w:r>
        <w:rPr>
          <w:i/>
        </w:rPr>
        <w:t xml:space="preserve">, Technical Report Y-87-1. United States Army Engineer Waterway Experiment Station, Vicksburg, Mississippi as amended, </w:t>
      </w:r>
      <w:r w:rsidRPr="007C4646">
        <w:t>as well as streams that are also defined as waters.</w:t>
      </w:r>
      <w:r>
        <w:rPr>
          <w:i/>
        </w:rPr>
        <w:t xml:space="preserve">  </w:t>
      </w:r>
      <w:r>
        <w:t>Generally, grantees should hire a qualified professional to provide a scientifically defensible wetlands delineation for ground disturbing projects.  National Wetland Inventory Maps must be submitted.  However, they will not be accepted as stand-alone documentation for the presence or absence of wetlands.  Grantees are ultimately responsible for compliance with all environmental regulations and permitting requirements.</w:t>
      </w:r>
    </w:p>
    <w:p w14:paraId="3B11BF16" w14:textId="3288F2A4" w:rsidR="00E53D20" w:rsidRDefault="00E53D20" w:rsidP="00315A41">
      <w:pPr>
        <w:pStyle w:val="Bullet10"/>
      </w:pPr>
      <w:r>
        <w:t xml:space="preserve">Activities that </w:t>
      </w:r>
      <w:r w:rsidRPr="00AE6F1C">
        <w:rPr>
          <w:b/>
          <w:bCs/>
        </w:rPr>
        <w:t>indirectly</w:t>
      </w:r>
      <w:r>
        <w:t xml:space="preserve"> impact wetlands such as by modifying the flow of stormwater, releasing pollutants, or otherwise changing conditions that contribute to wetlands viability are not subject to the 8-Step process; however, HUD strongly encourages measures to preserve such wetlands from future impacts, including by obtaining a restrictive covenant, conservation easement, or other mechanism.</w:t>
      </w:r>
    </w:p>
    <w:p w14:paraId="04EDE5C6" w14:textId="77777777" w:rsidR="00315A41" w:rsidRDefault="00315A41" w:rsidP="00315A41">
      <w:pPr>
        <w:pStyle w:val="Bullet10"/>
      </w:pPr>
      <w:r>
        <w:t>Funding recipients should request developers to provide an evaluation by an engineer or hydrologist for areas which are not covered by FEMA or these other sources.</w:t>
      </w:r>
    </w:p>
    <w:p w14:paraId="35949E7E" w14:textId="77777777" w:rsidR="00315A41" w:rsidRDefault="00315A41" w:rsidP="00315A41">
      <w:pPr>
        <w:pStyle w:val="Heading4"/>
      </w:pPr>
      <w:r>
        <w:t>Step 2: Engage Public Comment</w:t>
      </w:r>
    </w:p>
    <w:p w14:paraId="21911F24" w14:textId="489D2778" w:rsidR="00315A41" w:rsidRDefault="00315A41" w:rsidP="00315A41">
      <w:pPr>
        <w:pStyle w:val="Normal1"/>
      </w:pPr>
      <w:r>
        <w:t xml:space="preserve">After a recipient determines the project is located in </w:t>
      </w:r>
      <w:r w:rsidR="00543880">
        <w:t xml:space="preserve">the </w:t>
      </w:r>
      <w:proofErr w:type="gramStart"/>
      <w:r w:rsidR="00543880">
        <w:t xml:space="preserve">FFRMS </w:t>
      </w:r>
      <w:r>
        <w:t xml:space="preserve"> floodplain</w:t>
      </w:r>
      <w:proofErr w:type="gramEnd"/>
      <w:r>
        <w:t xml:space="preserve">/wetland, the second step is to publish a notice in the local newspaper </w:t>
      </w:r>
      <w:r w:rsidR="001C10D9">
        <w:t xml:space="preserve">or on an appropriate government web site </w:t>
      </w:r>
      <w:r>
        <w:t>informing the public</w:t>
      </w:r>
      <w:r w:rsidR="00D20E3A">
        <w:rPr>
          <w:rStyle w:val="FootnoteReference"/>
        </w:rPr>
        <w:footnoteReference w:id="3"/>
      </w:r>
      <w:r>
        <w:t xml:space="preserve"> of the proposal and inviting comments. </w:t>
      </w:r>
    </w:p>
    <w:p w14:paraId="576479F9" w14:textId="3239B852" w:rsidR="00315A41" w:rsidRPr="003816E6" w:rsidRDefault="00543880" w:rsidP="00315A41">
      <w:pPr>
        <w:pStyle w:val="Bullet10"/>
      </w:pPr>
      <w:r>
        <w:t xml:space="preserve">24 CFR Part 55, </w:t>
      </w:r>
      <w:r w:rsidR="00315A41" w:rsidRPr="00305967">
        <w:t xml:space="preserve">EO 11988 </w:t>
      </w:r>
      <w:r w:rsidR="00315A41" w:rsidRPr="003816E6">
        <w:t xml:space="preserve">and 11990 includes requirements that the public be provided adequate information, opportunity for review and comment, and an accounting of the rationale for the proposed action affecting the </w:t>
      </w:r>
      <w:r>
        <w:t xml:space="preserve">FFMRS </w:t>
      </w:r>
      <w:r w:rsidR="00315A41" w:rsidRPr="003816E6">
        <w:t>floodplain</w:t>
      </w:r>
      <w:r w:rsidR="00315A41">
        <w:t>/wetland</w:t>
      </w:r>
      <w:r w:rsidR="00315A41" w:rsidRPr="003816E6">
        <w:t xml:space="preserve">. </w:t>
      </w:r>
    </w:p>
    <w:p w14:paraId="44A833C0" w14:textId="5C187073" w:rsidR="00315A41" w:rsidRDefault="00315A41" w:rsidP="004604E6">
      <w:pPr>
        <w:pStyle w:val="Bullet2"/>
        <w:numPr>
          <w:ilvl w:val="1"/>
          <w:numId w:val="10"/>
        </w:numPr>
      </w:pPr>
      <w:r w:rsidRPr="003816E6">
        <w:t xml:space="preserve">An acceptable format for this notice called the </w:t>
      </w:r>
      <w:r w:rsidRPr="003816E6">
        <w:rPr>
          <w:i/>
        </w:rPr>
        <w:t xml:space="preserve">Early </w:t>
      </w:r>
      <w:r>
        <w:rPr>
          <w:i/>
        </w:rPr>
        <w:t xml:space="preserve">Notice and </w:t>
      </w:r>
      <w:r w:rsidRPr="003816E6">
        <w:rPr>
          <w:i/>
        </w:rPr>
        <w:t>Public Review</w:t>
      </w:r>
      <w:r w:rsidRPr="003816E6">
        <w:t xml:space="preserve"> is provided in this manual.  It </w:t>
      </w:r>
      <w:r>
        <w:t xml:space="preserve">should </w:t>
      </w:r>
      <w:r w:rsidRPr="003816E6">
        <w:t xml:space="preserve">provide a description of the proposed action </w:t>
      </w:r>
      <w:r>
        <w:t xml:space="preserve">and areas of impact </w:t>
      </w:r>
      <w:r w:rsidRPr="003816E6">
        <w:t>with time for meaningful input from the public.</w:t>
      </w:r>
      <w:r>
        <w:t xml:space="preserve"> This notice </w:t>
      </w:r>
      <w:r w:rsidR="00543880">
        <w:t xml:space="preserve">can be posted on an </w:t>
      </w:r>
      <w:r w:rsidR="00543880">
        <w:lastRenderedPageBreak/>
        <w:t xml:space="preserve">appropriate government website or </w:t>
      </w:r>
      <w:r w:rsidR="00A53C80">
        <w:t xml:space="preserve">published </w:t>
      </w:r>
      <w:r w:rsidR="00543880">
        <w:t>in a newspaper of general circulation in the affected community</w:t>
      </w:r>
      <w:r w:rsidR="00196DD0">
        <w:t xml:space="preserve">. </w:t>
      </w:r>
    </w:p>
    <w:p w14:paraId="03D634FB" w14:textId="77777777" w:rsidR="00315A41" w:rsidRPr="003816E6" w:rsidRDefault="00315A41" w:rsidP="004604E6">
      <w:pPr>
        <w:pStyle w:val="Bullet2"/>
        <w:numPr>
          <w:ilvl w:val="1"/>
          <w:numId w:val="10"/>
        </w:numPr>
      </w:pPr>
      <w:r>
        <w:t>Be sure to address potential impacts to the functions and values in the notice.</w:t>
      </w:r>
    </w:p>
    <w:p w14:paraId="4BBB27B2" w14:textId="77777777" w:rsidR="00315A41" w:rsidRDefault="00315A41" w:rsidP="004604E6">
      <w:pPr>
        <w:pStyle w:val="Bullet2"/>
        <w:numPr>
          <w:ilvl w:val="1"/>
          <w:numId w:val="10"/>
        </w:numPr>
      </w:pPr>
      <w:r w:rsidRPr="003816E6">
        <w:t xml:space="preserve">For projects in a floodplain, a copy of the Early </w:t>
      </w:r>
      <w:r>
        <w:t xml:space="preserve">Notice and </w:t>
      </w:r>
      <w:r w:rsidRPr="003816E6">
        <w:t>Public Review must be forwarded to the FEMA Regional Environmental Officer for comment and documented in the ERR.</w:t>
      </w:r>
    </w:p>
    <w:p w14:paraId="65EEBF70" w14:textId="77777777" w:rsidR="00315A41" w:rsidRDefault="00315A41" w:rsidP="00315A41">
      <w:pPr>
        <w:pStyle w:val="Heading4"/>
      </w:pPr>
      <w:r>
        <w:t>Step 3: Identification and Evaluation of Alternative Locations</w:t>
      </w:r>
    </w:p>
    <w:p w14:paraId="13331B7C" w14:textId="25A67F88" w:rsidR="00315A41" w:rsidRDefault="00315A41" w:rsidP="00315A41">
      <w:pPr>
        <w:pStyle w:val="Normal1"/>
      </w:pPr>
      <w:r>
        <w:t xml:space="preserve">The third step involves identification and evaluation of the </w:t>
      </w:r>
      <w:r w:rsidRPr="004604E6">
        <w:rPr>
          <w:iCs/>
        </w:rPr>
        <w:t>practicable alternatives</w:t>
      </w:r>
      <w:r>
        <w:t xml:space="preserve"> to locating in the </w:t>
      </w:r>
      <w:r w:rsidR="00196DD0">
        <w:t xml:space="preserve">FFRMS </w:t>
      </w:r>
      <w:r>
        <w:t xml:space="preserve">floodplain and/or wetlands.  </w:t>
      </w:r>
    </w:p>
    <w:p w14:paraId="2AB217D3" w14:textId="22DF3451" w:rsidR="00315A41" w:rsidRDefault="00315A41" w:rsidP="00315A41">
      <w:pPr>
        <w:pStyle w:val="Bullet10"/>
      </w:pPr>
      <w:r>
        <w:t xml:space="preserve">This determination requires the </w:t>
      </w:r>
      <w:r w:rsidR="008B7F5F">
        <w:t>R</w:t>
      </w:r>
      <w:r>
        <w:t>ecipient to consider whether the floodplain can be avoided to minimize harm to or within the floodplain by:</w:t>
      </w:r>
    </w:p>
    <w:p w14:paraId="0D48C0D6" w14:textId="67E6D0EE" w:rsidR="00315A41" w:rsidRPr="00C661A9" w:rsidRDefault="00315A41" w:rsidP="004604E6">
      <w:pPr>
        <w:pStyle w:val="Bullet2"/>
        <w:numPr>
          <w:ilvl w:val="1"/>
          <w:numId w:val="10"/>
        </w:numPr>
      </w:pPr>
      <w:r w:rsidRPr="00C661A9">
        <w:t xml:space="preserve">Adoption of an alternative project </w:t>
      </w:r>
      <w:proofErr w:type="gramStart"/>
      <w:r w:rsidRPr="00C661A9">
        <w:t>site</w:t>
      </w:r>
      <w:r w:rsidR="00353024">
        <w:t>;</w:t>
      </w:r>
      <w:proofErr w:type="gramEnd"/>
      <w:r w:rsidRPr="00C661A9">
        <w:t xml:space="preserve"> </w:t>
      </w:r>
    </w:p>
    <w:p w14:paraId="3B1A9AA6" w14:textId="1CEA1B92" w:rsidR="00315A41" w:rsidRPr="00C661A9" w:rsidRDefault="00315A41" w:rsidP="004604E6">
      <w:pPr>
        <w:pStyle w:val="Bullet2"/>
        <w:numPr>
          <w:ilvl w:val="1"/>
          <w:numId w:val="10"/>
        </w:numPr>
      </w:pPr>
      <w:r w:rsidRPr="00C661A9">
        <w:t>Other means which accomplish the same purposes as the proposed project but would minimize harm to or within the floodplain</w:t>
      </w:r>
      <w:r>
        <w:t xml:space="preserve"> or wetland</w:t>
      </w:r>
      <w:r w:rsidR="00353024">
        <w:t>;</w:t>
      </w:r>
      <w:r w:rsidRPr="00C661A9">
        <w:t xml:space="preserve"> or</w:t>
      </w:r>
    </w:p>
    <w:p w14:paraId="06ABA208" w14:textId="77777777" w:rsidR="00315A41" w:rsidRDefault="00315A41" w:rsidP="004604E6">
      <w:pPr>
        <w:pStyle w:val="Bullet2"/>
        <w:numPr>
          <w:ilvl w:val="1"/>
          <w:numId w:val="10"/>
        </w:numPr>
      </w:pPr>
      <w:r w:rsidRPr="00C661A9">
        <w:t>Taking no action.</w:t>
      </w:r>
    </w:p>
    <w:p w14:paraId="3223F7DA" w14:textId="0D8D1C5B" w:rsidR="00196DD0" w:rsidRPr="00C661A9" w:rsidRDefault="00196DD0" w:rsidP="004604E6">
      <w:pPr>
        <w:pStyle w:val="Bullet2"/>
        <w:numPr>
          <w:ilvl w:val="1"/>
          <w:numId w:val="10"/>
        </w:numPr>
      </w:pPr>
      <w:r>
        <w:t>Include the costs of flood insurance and potential property losses from flooding in an economic consideration of the practicability of alternatives.</w:t>
      </w:r>
    </w:p>
    <w:p w14:paraId="0173CA94" w14:textId="77777777" w:rsidR="00315A41" w:rsidRDefault="00315A41" w:rsidP="00315A41">
      <w:pPr>
        <w:pStyle w:val="Heading4"/>
      </w:pPr>
      <w:r>
        <w:t>Step 4: Identify Impacts of Proposed Project</w:t>
      </w:r>
    </w:p>
    <w:p w14:paraId="522F2FAF" w14:textId="4CFD1F4A" w:rsidR="00315A41" w:rsidRPr="003816E6" w:rsidRDefault="00E92752" w:rsidP="004604E6">
      <w:pPr>
        <w:pStyle w:val="Bullet2"/>
        <w:numPr>
          <w:ilvl w:val="0"/>
          <w:numId w:val="0"/>
        </w:numPr>
      </w:pPr>
      <w:r>
        <w:t>The fourth step is to i</w:t>
      </w:r>
      <w:r w:rsidR="00315A41">
        <w:t>dentify the impacts of the proposed project, including actions</w:t>
      </w:r>
      <w:r>
        <w:t xml:space="preserve"> </w:t>
      </w:r>
      <w:r w:rsidR="00315A41">
        <w:t xml:space="preserve">occurring outside the floodplain/wetland that will affect the </w:t>
      </w:r>
      <w:r w:rsidR="00196DD0">
        <w:t xml:space="preserve">FFMRS </w:t>
      </w:r>
      <w:r w:rsidR="00315A41">
        <w:t>floodplain or wetland.  In other words, if the project directly or indirectly supports floodplain/wetland development that has additional impacts, these additional impacts need to be identified also.  Be sure to address potential impacts to the natural and beneficial floodplain/wetland functions and values</w:t>
      </w:r>
      <w:r w:rsidR="00196DD0">
        <w:t xml:space="preserve"> including </w:t>
      </w:r>
      <w:proofErr w:type="gramStart"/>
      <w:r w:rsidR="00196DD0">
        <w:t>taking into account</w:t>
      </w:r>
      <w:proofErr w:type="gramEnd"/>
      <w:r w:rsidR="00196DD0">
        <w:t xml:space="preserve"> impacts related to future climate-related flood levels and sea level rise</w:t>
      </w:r>
      <w:r w:rsidR="00315A41">
        <w:t>.</w:t>
      </w:r>
    </w:p>
    <w:p w14:paraId="774534F3" w14:textId="67799044" w:rsidR="00315A41" w:rsidRDefault="00315A41" w:rsidP="00315A41">
      <w:pPr>
        <w:pStyle w:val="Normal1"/>
      </w:pPr>
      <w:r>
        <w:t>If negative impacts are identified, methods must be developed to pre</w:t>
      </w:r>
      <w:r w:rsidR="003859EE">
        <w:t>vent</w:t>
      </w:r>
      <w:r>
        <w:t xml:space="preserve"> potential harm as discussed in Step 5. The term harm, as used in this context, </w:t>
      </w:r>
      <w:r w:rsidR="00632E41">
        <w:t xml:space="preserve">refers </w:t>
      </w:r>
      <w:r>
        <w:t>t</w:t>
      </w:r>
      <w:r w:rsidR="003859EE">
        <w:t>o</w:t>
      </w:r>
      <w:r>
        <w:t xml:space="preserve"> </w:t>
      </w:r>
      <w:r w:rsidR="00632E41">
        <w:t xml:space="preserve">human </w:t>
      </w:r>
      <w:r>
        <w:t xml:space="preserve">lives, property, </w:t>
      </w:r>
      <w:r w:rsidR="00632E41">
        <w:t xml:space="preserve">and </w:t>
      </w:r>
      <w:r>
        <w:t>natural and beneficial floodplain values.</w:t>
      </w:r>
    </w:p>
    <w:p w14:paraId="350D348E" w14:textId="77777777" w:rsidR="00315A41" w:rsidRDefault="00315A41" w:rsidP="00315A41">
      <w:pPr>
        <w:pStyle w:val="Heading4"/>
      </w:pPr>
      <w:r>
        <w:t xml:space="preserve">Step 5: Minimize Potential Impacts &amp; Identify Methods to Restore and Preserve Beneficial Values </w:t>
      </w:r>
    </w:p>
    <w:p w14:paraId="56A6032D" w14:textId="77777777" w:rsidR="00315A41" w:rsidRDefault="00315A41" w:rsidP="00315A41">
      <w:pPr>
        <w:pStyle w:val="Normal1"/>
      </w:pPr>
      <w:r>
        <w:t xml:space="preserve">If the proposed project has identifiable impacts (as identified in step 4), they must be restored and preserved.  </w:t>
      </w:r>
    </w:p>
    <w:p w14:paraId="39D4BC26" w14:textId="7A54C02A" w:rsidR="00315A41" w:rsidRPr="00305967" w:rsidRDefault="00C7211B" w:rsidP="00315A41">
      <w:pPr>
        <w:pStyle w:val="Bullet10"/>
      </w:pPr>
      <w:r>
        <w:lastRenderedPageBreak/>
        <w:t xml:space="preserve">Minimize the impacts identified and restore and preserve the beneficial values served by floodplains and </w:t>
      </w:r>
      <w:proofErr w:type="gramStart"/>
      <w:r>
        <w:t>wetlands, and</w:t>
      </w:r>
      <w:proofErr w:type="gramEnd"/>
      <w:r>
        <w:t xml:space="preserve"> mitigate impacts that cannot be minimized.</w:t>
      </w:r>
      <w:r w:rsidR="00315A41" w:rsidRPr="00305967">
        <w:t xml:space="preserve"> </w:t>
      </w:r>
    </w:p>
    <w:p w14:paraId="3142DFBD" w14:textId="77777777" w:rsidR="00315A41" w:rsidRDefault="00315A41" w:rsidP="00315A41">
      <w:pPr>
        <w:pStyle w:val="Bullet10"/>
      </w:pPr>
      <w:r w:rsidRPr="00305967">
        <w:t>The concept of restoration and preservation applies only in floodplain</w:t>
      </w:r>
      <w:r>
        <w:t>/wetland</w:t>
      </w:r>
      <w:r w:rsidRPr="00305967">
        <w:t xml:space="preserve"> values. </w:t>
      </w:r>
    </w:p>
    <w:p w14:paraId="48905050" w14:textId="1E36A5CD" w:rsidR="00196DD0" w:rsidRDefault="00196DD0" w:rsidP="00315A41">
      <w:pPr>
        <w:pStyle w:val="Bullet10"/>
      </w:pPr>
      <w:r>
        <w:t>Elevation – required for all new construction and substantial improvements.  See chart below for additional information.</w:t>
      </w:r>
    </w:p>
    <w:p w14:paraId="7A250926" w14:textId="0A329582" w:rsidR="00C7211B" w:rsidRDefault="00C7211B" w:rsidP="00315A41">
      <w:pPr>
        <w:pStyle w:val="Bullet10"/>
      </w:pPr>
      <w:r>
        <w:t xml:space="preserve">Minimization – ERR must include a discussion of all minimization techniques incorporated into the project design including those considered but not approved.  Techniques may include stormwater management, </w:t>
      </w:r>
      <w:r w:rsidR="001C21DE">
        <w:t xml:space="preserve">green infrastructure, use of permeable surfaces and </w:t>
      </w:r>
      <w:r w:rsidR="007418B1">
        <w:t>nature-based</w:t>
      </w:r>
      <w:r w:rsidR="001C21DE">
        <w:t xml:space="preserve"> approaches, adjusting project footprints, resilient building codes, FEMA-identified Severe Repetitive Loss (SLR) mitigations, etc.</w:t>
      </w:r>
    </w:p>
    <w:p w14:paraId="33E15F20" w14:textId="2640B1F5" w:rsidR="001C21DE" w:rsidRDefault="001C21DE" w:rsidP="00315A41">
      <w:pPr>
        <w:pStyle w:val="Bullet10"/>
      </w:pPr>
      <w:r>
        <w:t>Restoration and Preservation</w:t>
      </w:r>
    </w:p>
    <w:p w14:paraId="573D8538" w14:textId="2E0D6E83" w:rsidR="001C21DE" w:rsidRDefault="001C21DE" w:rsidP="00315A41">
      <w:pPr>
        <w:pStyle w:val="Bullet10"/>
      </w:pPr>
      <w:r>
        <w:t>Planning for safety – Critical actions require an early warning system</w:t>
      </w:r>
      <w:r w:rsidR="00CD4F4D">
        <w:t>. M</w:t>
      </w:r>
      <w:r>
        <w:t xml:space="preserve">ultifamily </w:t>
      </w:r>
      <w:r w:rsidR="00CD4F4D">
        <w:t>properties</w:t>
      </w:r>
      <w:r>
        <w:t xml:space="preserve"> and healthcare facilities require an evacuation plan.</w:t>
      </w:r>
    </w:p>
    <w:p w14:paraId="33595C3A" w14:textId="7962B796" w:rsidR="00C7211B" w:rsidRPr="00305967" w:rsidRDefault="00C7211B" w:rsidP="00AE6F1C">
      <w:pPr>
        <w:pStyle w:val="Bullet10"/>
        <w:numPr>
          <w:ilvl w:val="0"/>
          <w:numId w:val="0"/>
        </w:numPr>
        <w:ind w:left="720"/>
      </w:pPr>
      <w:r>
        <w:rPr>
          <w:noProof/>
        </w:rPr>
        <w:drawing>
          <wp:inline distT="0" distB="0" distL="0" distR="0" wp14:anchorId="5B29F8FD" wp14:editId="43B1DE93">
            <wp:extent cx="5716899" cy="3765665"/>
            <wp:effectExtent l="0" t="0" r="0" b="6350"/>
            <wp:docPr id="135925681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56812" name="Picture 1" descr="A screenshot of a computer screen&#10;&#10;Description automatically generated"/>
                    <pic:cNvPicPr/>
                  </pic:nvPicPr>
                  <pic:blipFill>
                    <a:blip r:embed="rId109"/>
                    <a:stretch>
                      <a:fillRect/>
                    </a:stretch>
                  </pic:blipFill>
                  <pic:spPr>
                    <a:xfrm>
                      <a:off x="0" y="0"/>
                      <a:ext cx="5725436" cy="3771288"/>
                    </a:xfrm>
                    <a:prstGeom prst="rect">
                      <a:avLst/>
                    </a:prstGeom>
                  </pic:spPr>
                </pic:pic>
              </a:graphicData>
            </a:graphic>
          </wp:inline>
        </w:drawing>
      </w:r>
    </w:p>
    <w:p w14:paraId="6D8E18A5" w14:textId="77777777" w:rsidR="00315A41" w:rsidRDefault="00315A41" w:rsidP="00315A41">
      <w:pPr>
        <w:pStyle w:val="Normal1"/>
      </w:pPr>
      <w:r>
        <w:t>Methods to be used to perform these actions are discussed in Step 6.</w:t>
      </w:r>
    </w:p>
    <w:p w14:paraId="7F545A9D" w14:textId="77777777" w:rsidR="00315A41" w:rsidRDefault="00315A41" w:rsidP="00315A41">
      <w:pPr>
        <w:pStyle w:val="Heading4"/>
      </w:pPr>
      <w:r>
        <w:lastRenderedPageBreak/>
        <w:t>Step 6: Re-evaluate Project, Implement Actions to Minimize Impacts</w:t>
      </w:r>
    </w:p>
    <w:p w14:paraId="62252FCB" w14:textId="77777777" w:rsidR="00315A41" w:rsidRDefault="00315A41" w:rsidP="00315A41">
      <w:pPr>
        <w:pStyle w:val="Normal1"/>
      </w:pPr>
      <w:r>
        <w:t xml:space="preserve">At this stage, the proposed project needs to be re-evaluated in relationship to </w:t>
      </w:r>
      <w:r w:rsidRPr="00A471AF">
        <w:t xml:space="preserve">alternatives </w:t>
      </w:r>
      <w:r>
        <w:t xml:space="preserve">identified in Step 3, </w:t>
      </w:r>
      <w:proofErr w:type="gramStart"/>
      <w:r>
        <w:t>taking into account</w:t>
      </w:r>
      <w:proofErr w:type="gramEnd"/>
      <w:r>
        <w:t xml:space="preserve"> the identified impacts, the steps necessary to minimize these impacts and the opportunities to restore and preserve wetland/floodplain values.  </w:t>
      </w:r>
    </w:p>
    <w:p w14:paraId="47A77B34" w14:textId="510EA637" w:rsidR="00315A41" w:rsidRPr="00305967" w:rsidRDefault="00315A41" w:rsidP="00315A41">
      <w:pPr>
        <w:pStyle w:val="Bullet10"/>
      </w:pPr>
      <w:proofErr w:type="gramStart"/>
      <w:r w:rsidRPr="00305967">
        <w:t>As</w:t>
      </w:r>
      <w:r w:rsidR="00A51717">
        <w:t xml:space="preserve"> a general rule</w:t>
      </w:r>
      <w:proofErr w:type="gramEnd"/>
      <w:r w:rsidR="00A51717">
        <w:t>,</w:t>
      </w:r>
      <w:r w:rsidRPr="00305967">
        <w:t xml:space="preserve"> if the proposed project is determined to be no longer feasible, consider limiting the project to make non-floodplain </w:t>
      </w:r>
      <w:r>
        <w:t xml:space="preserve">or non-wetland </w:t>
      </w:r>
      <w:r w:rsidRPr="00305967">
        <w:t xml:space="preserve">sites practicable.  </w:t>
      </w:r>
    </w:p>
    <w:p w14:paraId="7F2E4869" w14:textId="77777777" w:rsidR="00315A41" w:rsidRPr="00305967" w:rsidRDefault="00315A41" w:rsidP="004604E6">
      <w:pPr>
        <w:pStyle w:val="Bullet10"/>
        <w:numPr>
          <w:ilvl w:val="1"/>
          <w:numId w:val="8"/>
        </w:numPr>
      </w:pPr>
      <w:r w:rsidRPr="00305967">
        <w:t xml:space="preserve">If neither is acceptable, the alternative is no action.  </w:t>
      </w:r>
    </w:p>
    <w:p w14:paraId="2D9CF223" w14:textId="3A0B62C0" w:rsidR="00315A41" w:rsidRPr="00305967" w:rsidRDefault="00315A41" w:rsidP="00315A41">
      <w:pPr>
        <w:pStyle w:val="Bullet10"/>
      </w:pPr>
      <w:r w:rsidRPr="00305967">
        <w:t xml:space="preserve">If the proposed project is outside the floodplain </w:t>
      </w:r>
      <w:r>
        <w:t xml:space="preserve">or wetland </w:t>
      </w:r>
      <w:r w:rsidRPr="00305967">
        <w:t xml:space="preserve">but has impacts that cannot be minimized, the </w:t>
      </w:r>
      <w:r w:rsidR="00F80AC3">
        <w:t>R</w:t>
      </w:r>
      <w:r w:rsidRPr="00305967">
        <w:t xml:space="preserve">ecipient should consider whether the project can be modified or relocated </w:t>
      </w:r>
      <w:proofErr w:type="gramStart"/>
      <w:r w:rsidRPr="00305967">
        <w:t>in order to</w:t>
      </w:r>
      <w:proofErr w:type="gramEnd"/>
      <w:r w:rsidRPr="00305967">
        <w:t xml:space="preserve"> eliminate or reduce the identified impacts or, again, take no action. </w:t>
      </w:r>
    </w:p>
    <w:p w14:paraId="7901E448" w14:textId="271D9ABE" w:rsidR="00315A41" w:rsidRDefault="00315A41" w:rsidP="00315A41">
      <w:pPr>
        <w:pStyle w:val="Normal1"/>
      </w:pPr>
      <w:r>
        <w:t>The re-evaluation should also include a provision for comparison of the relative adverse impacts associated with the proposed project located both in and out of the floodplain or wetland.  The comparison should emphasize floodplain/wetland functions and values; and a site out of the floodplain/wetland should not be chosen if the overall harm is significantly greater than that associated with the floodplain or wetland site.</w:t>
      </w:r>
      <w:r w:rsidR="001C21DE">
        <w:t xml:space="preserve">  Also, if the project </w:t>
      </w:r>
      <w:proofErr w:type="gramStart"/>
      <w:r w:rsidR="001C21DE">
        <w:t>is located in</w:t>
      </w:r>
      <w:proofErr w:type="gramEnd"/>
      <w:r w:rsidR="001C21DE">
        <w:t xml:space="preserve"> an Environmental Justice (EJ) community, the re-evaluation must address public input provided during the public outreach process and document how the activity reduces historical environmental disparities related to flood risk or wetlands impacts in the community.</w:t>
      </w:r>
    </w:p>
    <w:p w14:paraId="589F8781" w14:textId="77777777" w:rsidR="00315A41" w:rsidRDefault="00315A41" w:rsidP="00315A41">
      <w:pPr>
        <w:pStyle w:val="Heading4"/>
      </w:pPr>
      <w:r>
        <w:t>Step 7: Publish Final Notice and Public Explanation</w:t>
      </w:r>
    </w:p>
    <w:p w14:paraId="7B1E48AF" w14:textId="4528CBD4" w:rsidR="00315A41" w:rsidRPr="00305967" w:rsidRDefault="00315A41" w:rsidP="00315A41">
      <w:pPr>
        <w:pStyle w:val="Bullet10"/>
      </w:pPr>
      <w:r w:rsidRPr="00305967">
        <w:t>If the re-evaluation results in the determination that the only practicable alternative is to locate the project in the floodplain</w:t>
      </w:r>
      <w:r>
        <w:t xml:space="preserve"> or wetland</w:t>
      </w:r>
      <w:r w:rsidRPr="00305967">
        <w:t xml:space="preserve">, a </w:t>
      </w:r>
      <w:r>
        <w:rPr>
          <w:i/>
        </w:rPr>
        <w:t>Final Notice</w:t>
      </w:r>
      <w:r w:rsidRPr="00305967">
        <w:rPr>
          <w:i/>
        </w:rPr>
        <w:t xml:space="preserve"> and Public Explanati</w:t>
      </w:r>
      <w:r w:rsidRPr="003E348F">
        <w:rPr>
          <w:i/>
        </w:rPr>
        <w:t>on</w:t>
      </w:r>
      <w:r w:rsidRPr="00305967">
        <w:t xml:space="preserve"> </w:t>
      </w:r>
      <w:r w:rsidR="001C21DE">
        <w:t xml:space="preserve">which can be </w:t>
      </w:r>
      <w:r w:rsidRPr="00305967">
        <w:t>published in a local newspaper</w:t>
      </w:r>
      <w:r w:rsidR="001C21DE">
        <w:t xml:space="preserve"> or on an appropriate government website</w:t>
      </w:r>
      <w:r w:rsidRPr="00305967">
        <w:t xml:space="preserve">.  </w:t>
      </w:r>
    </w:p>
    <w:p w14:paraId="53D76632" w14:textId="77777777" w:rsidR="00315A41" w:rsidRDefault="00315A41" w:rsidP="004604E6">
      <w:pPr>
        <w:pStyle w:val="Bullet2"/>
        <w:numPr>
          <w:ilvl w:val="1"/>
          <w:numId w:val="10"/>
        </w:numPr>
      </w:pPr>
      <w:r>
        <w:t xml:space="preserve">A sample of this second notice is in the attachments to this chapter. </w:t>
      </w:r>
    </w:p>
    <w:p w14:paraId="6DD96468" w14:textId="512AD035" w:rsidR="00315A41" w:rsidRPr="003816E6" w:rsidRDefault="00315A41" w:rsidP="006125DE">
      <w:pPr>
        <w:pStyle w:val="Bullet3"/>
        <w:numPr>
          <w:ilvl w:val="1"/>
          <w:numId w:val="6"/>
        </w:numPr>
      </w:pPr>
      <w:r w:rsidRPr="003816E6">
        <w:t xml:space="preserve">For Step 7, it is permissible to </w:t>
      </w:r>
      <w:r w:rsidR="000D12F1">
        <w:t>post/</w:t>
      </w:r>
      <w:r w:rsidRPr="003816E6">
        <w:t xml:space="preserve">publish </w:t>
      </w:r>
      <w:r w:rsidRPr="004A5DD3">
        <w:t xml:space="preserve">the </w:t>
      </w:r>
      <w:hyperlink r:id="rId110" w:history="1">
        <w:r w:rsidRPr="00642C32">
          <w:rPr>
            <w:rStyle w:val="Hyperlink"/>
            <w:i/>
          </w:rPr>
          <w:t>Final Notice and Public Explanation</w:t>
        </w:r>
      </w:hyperlink>
      <w:r w:rsidRPr="003816E6">
        <w:t xml:space="preserve"> concurrently with the </w:t>
      </w:r>
      <w:hyperlink r:id="rId111" w:history="1">
        <w:r w:rsidRPr="00F76721">
          <w:rPr>
            <w:rStyle w:val="Hyperlink"/>
            <w:i/>
          </w:rPr>
          <w:t>Notice of Intent to Request Release of Funds</w:t>
        </w:r>
      </w:hyperlink>
      <w:r w:rsidRPr="003816E6">
        <w:t xml:space="preserve"> (related to categorical exclusions that cannot convert to exempt) or </w:t>
      </w:r>
      <w:hyperlink r:id="rId112" w:history="1">
        <w:r w:rsidRPr="00F76721">
          <w:rPr>
            <w:rStyle w:val="Hyperlink"/>
          </w:rPr>
          <w:t xml:space="preserve">Combined Notice of </w:t>
        </w:r>
        <w:r w:rsidRPr="00F76721">
          <w:rPr>
            <w:rStyle w:val="Hyperlink"/>
            <w:i/>
          </w:rPr>
          <w:t>Finding of No Significant Impact</w:t>
        </w:r>
        <w:r w:rsidRPr="00F76721">
          <w:rPr>
            <w:rStyle w:val="Hyperlink"/>
          </w:rPr>
          <w:t xml:space="preserve"> (</w:t>
        </w:r>
        <w:r w:rsidRPr="00F76721">
          <w:rPr>
            <w:rStyle w:val="Hyperlink"/>
            <w:i/>
          </w:rPr>
          <w:t>FONSI)</w:t>
        </w:r>
        <w:r w:rsidRPr="00F76721">
          <w:rPr>
            <w:rStyle w:val="Hyperlink"/>
          </w:rPr>
          <w:t xml:space="preserve"> and </w:t>
        </w:r>
        <w:r w:rsidRPr="00F76721">
          <w:rPr>
            <w:rStyle w:val="Hyperlink"/>
            <w:i/>
            <w:iCs/>
          </w:rPr>
          <w:t>Notice of Intent to</w:t>
        </w:r>
        <w:r w:rsidRPr="00F76721">
          <w:rPr>
            <w:rStyle w:val="Hyperlink"/>
          </w:rPr>
          <w:t xml:space="preserve"> </w:t>
        </w:r>
        <w:r w:rsidRPr="00F76721">
          <w:rPr>
            <w:rStyle w:val="Hyperlink"/>
            <w:i/>
          </w:rPr>
          <w:t>Request Release of Funds</w:t>
        </w:r>
      </w:hyperlink>
      <w:r w:rsidRPr="003816E6">
        <w:t xml:space="preserve"> (related to an EA).  However, it should be made clear that the notices serve different purposes. </w:t>
      </w:r>
    </w:p>
    <w:p w14:paraId="47EDEC3B" w14:textId="3659FC4D" w:rsidR="00315A41" w:rsidRPr="003816E6" w:rsidRDefault="003258E2" w:rsidP="006125DE">
      <w:pPr>
        <w:pStyle w:val="Bullet3"/>
        <w:numPr>
          <w:ilvl w:val="1"/>
          <w:numId w:val="6"/>
        </w:numPr>
      </w:pPr>
      <w:r w:rsidRPr="00F91231">
        <w:lastRenderedPageBreak/>
        <mc:AlternateContent>
          <mc:Choice Requires="wps">
            <w:drawing>
              <wp:anchor distT="0" distB="0" distL="114300" distR="114300" simplePos="0" relativeHeight="251676672" behindDoc="1" locked="0" layoutInCell="1" allowOverlap="1" wp14:anchorId="3530EDCA" wp14:editId="1A9F9128">
                <wp:simplePos x="0" y="0"/>
                <wp:positionH relativeFrom="column">
                  <wp:posOffset>3836035</wp:posOffset>
                </wp:positionH>
                <wp:positionV relativeFrom="paragraph">
                  <wp:posOffset>16510</wp:posOffset>
                </wp:positionV>
                <wp:extent cx="1920240" cy="2085975"/>
                <wp:effectExtent l="0" t="0" r="99060" b="104775"/>
                <wp:wrapTight wrapText="left">
                  <wp:wrapPolygon edited="0">
                    <wp:start x="0" y="0"/>
                    <wp:lineTo x="0" y="21896"/>
                    <wp:lineTo x="429" y="22488"/>
                    <wp:lineTo x="22500" y="22488"/>
                    <wp:lineTo x="22500" y="789"/>
                    <wp:lineTo x="22071" y="0"/>
                    <wp:lineTo x="0" y="0"/>
                  </wp:wrapPolygon>
                </wp:wrapTight>
                <wp:docPr id="14552657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085975"/>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45C6E2CF" w14:textId="46169A87" w:rsidR="003258E2" w:rsidRDefault="003258E2" w:rsidP="003258E2">
                            <w:pPr>
                              <w:pStyle w:val="Normal1"/>
                              <w:jc w:val="left"/>
                            </w:pPr>
                            <w:r>
                              <w:t xml:space="preserve">REMINDER: The </w:t>
                            </w:r>
                            <w:r w:rsidRPr="004604E6">
                              <w:rPr>
                                <w:b/>
                                <w:bCs/>
                                <w:i/>
                              </w:rPr>
                              <w:t>Early Notice and Public Review</w:t>
                            </w:r>
                            <w:r>
                              <w:t xml:space="preserve"> and the </w:t>
                            </w:r>
                            <w:r w:rsidRPr="004604E6">
                              <w:rPr>
                                <w:b/>
                                <w:bCs/>
                                <w:i/>
                              </w:rPr>
                              <w:t>Final Notice and Public Explanation</w:t>
                            </w:r>
                            <w:r w:rsidRPr="007F1DA8">
                              <w:t xml:space="preserve"> </w:t>
                            </w:r>
                            <w:r>
                              <w:rPr>
                                <w:b/>
                                <w:bCs/>
                              </w:rPr>
                              <w:t xml:space="preserve">may </w:t>
                            </w:r>
                            <w:r w:rsidR="00683516">
                              <w:rPr>
                                <w:b/>
                                <w:bCs/>
                              </w:rPr>
                              <w:t xml:space="preserve">now </w:t>
                            </w:r>
                            <w:r>
                              <w:rPr>
                                <w:b/>
                                <w:bCs/>
                              </w:rPr>
                              <w:t xml:space="preserve">either be published </w:t>
                            </w:r>
                            <w:r w:rsidR="00683516">
                              <w:rPr>
                                <w:b/>
                                <w:bCs/>
                              </w:rPr>
                              <w:t>in a newspaper of general circulation or</w:t>
                            </w:r>
                            <w:r>
                              <w:rPr>
                                <w:b/>
                                <w:bCs/>
                              </w:rPr>
                              <w:t xml:space="preserve"> on a government web site.</w:t>
                            </w:r>
                          </w:p>
                          <w:p w14:paraId="79F80998" w14:textId="77777777" w:rsidR="003258E2" w:rsidRDefault="003258E2" w:rsidP="003258E2">
                            <w:pPr>
                              <w:pStyle w:val="Normal1"/>
                            </w:pPr>
                          </w:p>
                          <w:p w14:paraId="3B9509B9" w14:textId="77777777" w:rsidR="003258E2" w:rsidRDefault="003258E2" w:rsidP="003258E2">
                            <w:pPr>
                              <w:rPr>
                                <w:b/>
                              </w:rPr>
                            </w:pPr>
                          </w:p>
                          <w:p w14:paraId="5FA2E1A3" w14:textId="77777777" w:rsidR="003258E2" w:rsidRDefault="003258E2" w:rsidP="00325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EDCA" id="_x0000_s1034" type="#_x0000_t202" style="position:absolute;left:0;text-align:left;margin-left:302.05pt;margin-top:1.3pt;width:151.2pt;height:16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" strokeweight="1.5pt">
                <v:shadow on="t" offset="6pt,6pt"/>
                <v:textbox>
                  <w:txbxContent>
                    <w:p w14:paraId="45C6E2CF" w14:textId="46169A87" w:rsidR="003258E2" w:rsidRDefault="003258E2" w:rsidP="003258E2">
                      <w:pPr>
                        <w:pStyle w:val="Normal1"/>
                        <w:jc w:val="left"/>
                      </w:pPr>
                      <w:r>
                        <w:t xml:space="preserve">REMINDER: The </w:t>
                      </w:r>
                      <w:r w:rsidRPr="004604E6">
                        <w:rPr>
                          <w:b/>
                          <w:bCs/>
                          <w:i/>
                        </w:rPr>
                        <w:t>Early Notice and Public Review</w:t>
                      </w:r>
                      <w:r>
                        <w:t xml:space="preserve"> and the </w:t>
                      </w:r>
                      <w:r w:rsidRPr="004604E6">
                        <w:rPr>
                          <w:b/>
                          <w:bCs/>
                          <w:i/>
                        </w:rPr>
                        <w:t>Final Notice and Public Explanation</w:t>
                      </w:r>
                      <w:r w:rsidRPr="007F1DA8">
                        <w:t xml:space="preserve"> </w:t>
                      </w:r>
                      <w:r>
                        <w:rPr>
                          <w:b/>
                          <w:bCs/>
                        </w:rPr>
                        <w:t xml:space="preserve">may </w:t>
                      </w:r>
                      <w:r w:rsidR="00683516">
                        <w:rPr>
                          <w:b/>
                          <w:bCs/>
                        </w:rPr>
                        <w:t xml:space="preserve">now </w:t>
                      </w:r>
                      <w:r>
                        <w:rPr>
                          <w:b/>
                          <w:bCs/>
                        </w:rPr>
                        <w:t xml:space="preserve">either be published </w:t>
                      </w:r>
                      <w:r w:rsidR="00683516">
                        <w:rPr>
                          <w:b/>
                          <w:bCs/>
                        </w:rPr>
                        <w:t>in a newspaper of general circulation or</w:t>
                      </w:r>
                      <w:r>
                        <w:rPr>
                          <w:b/>
                          <w:bCs/>
                        </w:rPr>
                        <w:t xml:space="preserve"> on a government web site.</w:t>
                      </w:r>
                    </w:p>
                    <w:p w14:paraId="79F80998" w14:textId="77777777" w:rsidR="003258E2" w:rsidRDefault="003258E2" w:rsidP="003258E2">
                      <w:pPr>
                        <w:pStyle w:val="Normal1"/>
                      </w:pPr>
                    </w:p>
                    <w:p w14:paraId="3B9509B9" w14:textId="77777777" w:rsidR="003258E2" w:rsidRDefault="003258E2" w:rsidP="003258E2">
                      <w:pPr>
                        <w:rPr>
                          <w:b/>
                        </w:rPr>
                      </w:pPr>
                    </w:p>
                    <w:p w14:paraId="5FA2E1A3" w14:textId="77777777" w:rsidR="003258E2" w:rsidRDefault="003258E2" w:rsidP="003258E2"/>
                  </w:txbxContent>
                </v:textbox>
                <w10:wrap type="tight" side="left"/>
              </v:shape>
            </w:pict>
          </mc:Fallback>
        </mc:AlternateContent>
      </w:r>
      <w:r w:rsidR="00315A41" w:rsidRPr="003816E6">
        <w:t>For projects in a floodplain, a copy of the Statement of Findings and Public Explanation must be forwarded to the FEMA Regional Environmental Officer for comment and documented in the ERR.</w:t>
      </w:r>
    </w:p>
    <w:p w14:paraId="0D8C766B" w14:textId="77777777" w:rsidR="00315A41" w:rsidRDefault="00315A41" w:rsidP="00315A41">
      <w:pPr>
        <w:pStyle w:val="Heading4"/>
      </w:pPr>
      <w:r>
        <w:t>Step 8: Implement the Proposed Project</w:t>
      </w:r>
    </w:p>
    <w:p w14:paraId="60A79852" w14:textId="77777777" w:rsidR="00315A41" w:rsidRPr="003816E6" w:rsidRDefault="00315A41" w:rsidP="00315A41">
      <w:pPr>
        <w:pStyle w:val="Normal1"/>
      </w:pPr>
      <w:r>
        <w:t xml:space="preserve">Once the proper documentation has been reviewed and </w:t>
      </w:r>
      <w:r w:rsidRPr="003816E6">
        <w:t>published, the project may continue.</w:t>
      </w:r>
    </w:p>
    <w:p w14:paraId="188B7D80" w14:textId="52355F0B" w:rsidR="00315A41" w:rsidRDefault="00315A41" w:rsidP="00315A41">
      <w:pPr>
        <w:pStyle w:val="Bullet10"/>
      </w:pPr>
      <w:r w:rsidRPr="003816E6">
        <w:t xml:space="preserve">Compliance with EO </w:t>
      </w:r>
      <w:r w:rsidR="001C21DE">
        <w:t xml:space="preserve">13690, </w:t>
      </w:r>
      <w:r w:rsidRPr="003816E6">
        <w:t>11988 and/or 11990 has been achieved</w:t>
      </w:r>
      <w:r w:rsidRPr="00305967">
        <w:t xml:space="preserve"> through documentation of the “</w:t>
      </w:r>
      <w:hyperlink r:id="rId113" w:history="1">
        <w:r w:rsidRPr="00D92CA1">
          <w:rPr>
            <w:rStyle w:val="Hyperlink"/>
          </w:rPr>
          <w:t>eight-step process</w:t>
        </w:r>
      </w:hyperlink>
      <w:r w:rsidRPr="00305967">
        <w:t xml:space="preserve">”, and implementation of the conditions for approving the project in the floodplain or wetland.  Therefore, this documentation should be placed in the project ERR. </w:t>
      </w:r>
    </w:p>
    <w:p w14:paraId="0D77B5B3" w14:textId="44824D7F" w:rsidR="000D12F1" w:rsidRDefault="000D12F1">
      <w:pPr>
        <w:spacing w:before="0" w:after="0"/>
        <w:rPr>
          <w:rFonts w:ascii="Tahoma" w:hAnsi="Tahoma"/>
        </w:rPr>
      </w:pPr>
      <w:r>
        <w:br w:type="page"/>
      </w:r>
    </w:p>
    <w:p w14:paraId="3A5A46B5" w14:textId="658B9E49" w:rsidR="00315A41" w:rsidRPr="00B863E7" w:rsidRDefault="00804AE5" w:rsidP="004604E6">
      <w:pPr>
        <w:pStyle w:val="Heading3"/>
        <w:jc w:val="center"/>
      </w:pPr>
      <w:bookmarkStart w:id="31" w:name="_Appendix_C"/>
      <w:bookmarkEnd w:id="31"/>
      <w:r>
        <w:lastRenderedPageBreak/>
        <w:t>Appendix C</w:t>
      </w:r>
    </w:p>
    <w:p w14:paraId="6B7EFE59" w14:textId="5160BB0A" w:rsidR="00CA4416" w:rsidRDefault="00CA4416" w:rsidP="00CA4416">
      <w:pPr>
        <w:pStyle w:val="Heading4"/>
      </w:pPr>
      <w:r>
        <w:t>Compliance with Stormwater Management and Sediment Reduction Act</w:t>
      </w:r>
    </w:p>
    <w:p w14:paraId="345751DD" w14:textId="692726E5" w:rsidR="00315A41" w:rsidRDefault="00315A41" w:rsidP="00315A41">
      <w:pPr>
        <w:pStyle w:val="Normal1"/>
        <w:spacing w:before="0"/>
      </w:pPr>
      <w:r>
        <w:t xml:space="preserve">In addition to following the Federal environmental compliance requirements in Part 58, all projects requiring an </w:t>
      </w:r>
      <w:hyperlink r:id="rId114" w:history="1">
        <w:r w:rsidRPr="00F136D0">
          <w:rPr>
            <w:rStyle w:val="Hyperlink"/>
            <w:i/>
          </w:rPr>
          <w:t>Environmental Assessment</w:t>
        </w:r>
      </w:hyperlink>
      <w:r w:rsidRPr="00A43822">
        <w:rPr>
          <w:i/>
        </w:rPr>
        <w:t xml:space="preserve"> </w:t>
      </w:r>
      <w:r w:rsidRPr="00A43822">
        <w:t>must</w:t>
      </w:r>
      <w:r>
        <w:t xml:space="preserve"> comply with State law for preventing non-point source pollution.  According to State law, all land disturbing activities impacting five or more acres, except those exempted by the Act, and regulations, are regulated by the Stormwater Management and Sediment Reduction Act (</w:t>
      </w:r>
      <w:hyperlink r:id="rId115" w:history="1">
        <w:r w:rsidRPr="00D6295F">
          <w:rPr>
            <w:rStyle w:val="Hyperlink"/>
          </w:rPr>
          <w:t>Chapter 14, Title 48, SC Code</w:t>
        </w:r>
      </w:hyperlink>
      <w:r>
        <w:t xml:space="preserve">).  </w:t>
      </w:r>
    </w:p>
    <w:p w14:paraId="14EC6966" w14:textId="77777777" w:rsidR="00315A41" w:rsidRPr="00305967" w:rsidRDefault="00315A41" w:rsidP="00315A41">
      <w:pPr>
        <w:pStyle w:val="Bullet10"/>
      </w:pPr>
      <w:r w:rsidRPr="00305967">
        <w:t xml:space="preserve">“Land disturbing activities” are defined as "any use of the land by any person that results in a change in the natural cover topography that may cause erosion and contribute to sediment and alter the quality and quantity of storm water runoff."  </w:t>
      </w:r>
    </w:p>
    <w:p w14:paraId="4C9426ED" w14:textId="77777777" w:rsidR="00315A41" w:rsidRPr="00305967" w:rsidRDefault="00315A41" w:rsidP="00315A41">
      <w:pPr>
        <w:pStyle w:val="Bullet10"/>
      </w:pPr>
      <w:r w:rsidRPr="00305967">
        <w:t xml:space="preserve">Activities which may require compliance with the Act </w:t>
      </w:r>
      <w:proofErr w:type="gramStart"/>
      <w:r w:rsidRPr="00305967">
        <w:t>include;</w:t>
      </w:r>
      <w:proofErr w:type="gramEnd"/>
      <w:r w:rsidRPr="00305967">
        <w:t xml:space="preserve"> </w:t>
      </w:r>
    </w:p>
    <w:p w14:paraId="6AA626C4" w14:textId="77777777" w:rsidR="00315A41" w:rsidRPr="00C661A9" w:rsidRDefault="00315A41" w:rsidP="00315A41">
      <w:pPr>
        <w:pStyle w:val="Bullet2"/>
      </w:pPr>
      <w:r w:rsidRPr="00C661A9">
        <w:t xml:space="preserve">Water and sewer </w:t>
      </w:r>
      <w:proofErr w:type="gramStart"/>
      <w:r w:rsidRPr="00C661A9">
        <w:t>projects;</w:t>
      </w:r>
      <w:proofErr w:type="gramEnd"/>
    </w:p>
    <w:p w14:paraId="032A10C9" w14:textId="77777777" w:rsidR="00315A41" w:rsidRPr="00C661A9" w:rsidRDefault="00315A41" w:rsidP="00315A41">
      <w:pPr>
        <w:pStyle w:val="Bullet2"/>
      </w:pPr>
      <w:r w:rsidRPr="00C661A9">
        <w:t xml:space="preserve">Drainage </w:t>
      </w:r>
      <w:proofErr w:type="gramStart"/>
      <w:r w:rsidRPr="00C661A9">
        <w:t>projects;</w:t>
      </w:r>
      <w:proofErr w:type="gramEnd"/>
    </w:p>
    <w:p w14:paraId="7FD2B1DA" w14:textId="77777777" w:rsidR="00315A41" w:rsidRPr="00C661A9" w:rsidRDefault="00315A41" w:rsidP="00315A41">
      <w:pPr>
        <w:pStyle w:val="Bullet2"/>
      </w:pPr>
      <w:r w:rsidRPr="00C661A9">
        <w:t xml:space="preserve">Street </w:t>
      </w:r>
      <w:proofErr w:type="gramStart"/>
      <w:r w:rsidRPr="00C661A9">
        <w:t>paving;</w:t>
      </w:r>
      <w:proofErr w:type="gramEnd"/>
    </w:p>
    <w:p w14:paraId="50FDF94C" w14:textId="77777777" w:rsidR="00315A41" w:rsidRPr="00C661A9" w:rsidRDefault="00315A41" w:rsidP="00315A41">
      <w:pPr>
        <w:pStyle w:val="Bullet2"/>
      </w:pPr>
      <w:r w:rsidRPr="00C661A9">
        <w:t xml:space="preserve">Parking lot </w:t>
      </w:r>
      <w:proofErr w:type="gramStart"/>
      <w:r w:rsidRPr="00C661A9">
        <w:t>development;</w:t>
      </w:r>
      <w:proofErr w:type="gramEnd"/>
    </w:p>
    <w:p w14:paraId="3A51C82E" w14:textId="77777777" w:rsidR="00315A41" w:rsidRPr="00C661A9" w:rsidRDefault="00315A41" w:rsidP="00315A41">
      <w:pPr>
        <w:pStyle w:val="Bullet2"/>
      </w:pPr>
      <w:r w:rsidRPr="00C661A9">
        <w:t xml:space="preserve">Industrial development; and </w:t>
      </w:r>
    </w:p>
    <w:p w14:paraId="6E7951F1" w14:textId="77777777" w:rsidR="00315A41" w:rsidRPr="00C661A9" w:rsidRDefault="00315A41" w:rsidP="00315A41">
      <w:pPr>
        <w:pStyle w:val="Bullet2"/>
      </w:pPr>
      <w:r w:rsidRPr="00C661A9">
        <w:t>Site improvements.</w:t>
      </w:r>
    </w:p>
    <w:p w14:paraId="3F498476" w14:textId="0237C5F3" w:rsidR="00315A41" w:rsidRPr="00305967" w:rsidRDefault="00315A41" w:rsidP="00315A41">
      <w:pPr>
        <w:pStyle w:val="Bullet10"/>
      </w:pPr>
      <w:r w:rsidRPr="00305967">
        <w:t xml:space="preserve">The SC Department of </w:t>
      </w:r>
      <w:r w:rsidR="00121640">
        <w:t>Environmental Services (</w:t>
      </w:r>
      <w:r w:rsidR="00552ED4">
        <w:t>SC</w:t>
      </w:r>
      <w:r w:rsidR="00121640">
        <w:t xml:space="preserve">DES, formerly </w:t>
      </w:r>
      <w:r w:rsidR="00552ED4">
        <w:t>SC</w:t>
      </w:r>
      <w:r w:rsidR="00121640">
        <w:t>DHEC)</w:t>
      </w:r>
      <w:r w:rsidRPr="00305967">
        <w:t xml:space="preserve"> is the State agency ultimately responsible for implementation of the Act.  </w:t>
      </w:r>
    </w:p>
    <w:p w14:paraId="026B6ABA" w14:textId="30B1AD68" w:rsidR="00315A41" w:rsidRPr="00C661A9" w:rsidRDefault="00315A41" w:rsidP="00315A41">
      <w:pPr>
        <w:pStyle w:val="Bullet2"/>
      </w:pPr>
      <w:r w:rsidRPr="00C661A9">
        <w:t>Questions should be directed to the Stormwater Management Section at</w:t>
      </w:r>
      <w:r w:rsidR="00121640">
        <w:t xml:space="preserve"> </w:t>
      </w:r>
      <w:r w:rsidR="00552ED4">
        <w:t>SC</w:t>
      </w:r>
      <w:r w:rsidR="00121640">
        <w:t>DES</w:t>
      </w:r>
      <w:r w:rsidRPr="00C661A9">
        <w:t xml:space="preserve">.  </w:t>
      </w:r>
    </w:p>
    <w:p w14:paraId="49D0F766" w14:textId="01DFF765" w:rsidR="00315A41" w:rsidRPr="00D118DE" w:rsidRDefault="00315A41" w:rsidP="004604E6">
      <w:pPr>
        <w:pStyle w:val="Bullet2"/>
      </w:pPr>
      <w:r w:rsidRPr="00C661A9">
        <w:t xml:space="preserve">CDBG recipients must indicate in the ERR </w:t>
      </w:r>
      <w:proofErr w:type="gramStart"/>
      <w:r w:rsidRPr="00C661A9">
        <w:t>whether or not</w:t>
      </w:r>
      <w:proofErr w:type="gramEnd"/>
      <w:r w:rsidRPr="00C661A9">
        <w:t xml:space="preserve"> a planned activity will or will not require compliance with the Act.</w:t>
      </w:r>
    </w:p>
    <w:sectPr w:rsidR="00315A41" w:rsidRPr="00D118DE">
      <w:headerReference w:type="even" r:id="rId116"/>
      <w:headerReference w:type="default" r:id="rId117"/>
      <w:footerReference w:type="even" r:id="rId118"/>
      <w:footerReference w:type="default" r:id="rId1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94C0A" w14:textId="77777777" w:rsidR="007875FD" w:rsidRDefault="007875FD">
      <w:r>
        <w:separator/>
      </w:r>
    </w:p>
  </w:endnote>
  <w:endnote w:type="continuationSeparator" w:id="0">
    <w:p w14:paraId="00174054" w14:textId="77777777" w:rsidR="007875FD" w:rsidRDefault="007875FD">
      <w:r>
        <w:continuationSeparator/>
      </w:r>
    </w:p>
  </w:endnote>
  <w:endnote w:type="continuationNotice" w:id="1">
    <w:p w14:paraId="316EBECD" w14:textId="77777777" w:rsidR="007875FD" w:rsidRDefault="007875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C763" w14:textId="1A6B87E9" w:rsidR="00836732" w:rsidRDefault="00836732">
    <w:pPr>
      <w:pStyle w:val="Footer"/>
    </w:pPr>
    <w:r>
      <w:rPr>
        <w:noProof/>
      </w:rPr>
      <mc:AlternateContent>
        <mc:Choice Requires="wps">
          <w:drawing>
            <wp:anchor distT="0" distB="0" distL="114300" distR="114300" simplePos="0" relativeHeight="251658242" behindDoc="0" locked="0" layoutInCell="1" allowOverlap="1" wp14:anchorId="33DA561C" wp14:editId="7076D8E4">
              <wp:simplePos x="0" y="0"/>
              <wp:positionH relativeFrom="column">
                <wp:posOffset>-62865</wp:posOffset>
              </wp:positionH>
              <wp:positionV relativeFrom="paragraph">
                <wp:posOffset>-19050</wp:posOffset>
              </wp:positionV>
              <wp:extent cx="5829300" cy="0"/>
              <wp:effectExtent l="13335" t="9525" r="5715" b="9525"/>
              <wp:wrapNone/>
              <wp:docPr id="199658824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7A92" id="Line 1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45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"/>
          </w:pict>
        </mc:Fallback>
      </mc:AlternateContent>
    </w:r>
    <w:r>
      <w:t>Revised 11/09</w:t>
    </w:r>
    <w:r>
      <w:tab/>
    </w:r>
    <w:r>
      <w:tab/>
      <w:t xml:space="preserve">Page </w:t>
    </w:r>
    <w:r>
      <w:fldChar w:fldCharType="begin"/>
    </w:r>
    <w:r>
      <w:instrText xml:space="preserve"> PAGE </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C0B3" w14:textId="58BE2936" w:rsidR="00836732" w:rsidRDefault="00836732">
    <w:pPr>
      <w:pStyle w:val="Footer"/>
    </w:pPr>
    <w:r>
      <w:rPr>
        <w:noProof/>
      </w:rPr>
      <mc:AlternateContent>
        <mc:Choice Requires="wps">
          <w:drawing>
            <wp:anchor distT="0" distB="0" distL="114300" distR="114300" simplePos="0" relativeHeight="251662336" behindDoc="0" locked="0" layoutInCell="1" allowOverlap="1" wp14:anchorId="5A2647C3" wp14:editId="5BA62627">
              <wp:simplePos x="0" y="0"/>
              <wp:positionH relativeFrom="column">
                <wp:posOffset>-62865</wp:posOffset>
              </wp:positionH>
              <wp:positionV relativeFrom="paragraph">
                <wp:posOffset>-19050</wp:posOffset>
              </wp:positionV>
              <wp:extent cx="5829300" cy="0"/>
              <wp:effectExtent l="13335" t="9525" r="5715" b="9525"/>
              <wp:wrapNone/>
              <wp:docPr id="9177342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C79F9"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45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"/>
          </w:pict>
        </mc:Fallback>
      </mc:AlternateContent>
    </w:r>
    <w:r>
      <w:t xml:space="preserve">Revised </w:t>
    </w:r>
    <w:r w:rsidR="0070195A">
      <w:t>9</w:t>
    </w:r>
    <w:r>
      <w:t>/2024</w:t>
    </w:r>
    <w:r>
      <w:tab/>
    </w:r>
    <w:r>
      <w:tab/>
      <w:t xml:space="preserve">Page </w:t>
    </w:r>
    <w:r>
      <w:fldChar w:fldCharType="begin"/>
    </w:r>
    <w:r>
      <w:instrText xml:space="preserve"> PAGE </w:instrText>
    </w:r>
    <w:r>
      <w:fldChar w:fldCharType="separate"/>
    </w:r>
    <w:r>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41667" w14:textId="0F7818E1" w:rsidR="00836732" w:rsidRDefault="00836732">
    <w:pPr>
      <w:pStyle w:val="Footer"/>
    </w:pPr>
    <w:r>
      <w:rPr>
        <w:noProof/>
      </w:rPr>
      <mc:AlternateContent>
        <mc:Choice Requires="wps">
          <w:drawing>
            <wp:anchor distT="0" distB="0" distL="114300" distR="114300" simplePos="0" relativeHeight="251652096" behindDoc="0" locked="0" layoutInCell="1" allowOverlap="1" wp14:anchorId="3D857783" wp14:editId="1A15FA28">
              <wp:simplePos x="0" y="0"/>
              <wp:positionH relativeFrom="column">
                <wp:posOffset>-62865</wp:posOffset>
              </wp:positionH>
              <wp:positionV relativeFrom="paragraph">
                <wp:posOffset>-19050</wp:posOffset>
              </wp:positionV>
              <wp:extent cx="5829300" cy="0"/>
              <wp:effectExtent l="13335" t="12065" r="5715" b="6985"/>
              <wp:wrapNone/>
              <wp:docPr id="165845134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E9058" id="Line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45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"/>
          </w:pict>
        </mc:Fallback>
      </mc:AlternateContent>
    </w:r>
    <w:r>
      <w:t xml:space="preserve">Revised </w:t>
    </w:r>
    <w:r w:rsidR="001F64EF">
      <w:t>9</w:t>
    </w:r>
    <w:r>
      <w:t>/2024</w:t>
    </w:r>
    <w:r>
      <w:tab/>
    </w:r>
    <w:r>
      <w:tab/>
      <w:t xml:space="preserve">Page </w:t>
    </w:r>
    <w:r>
      <w:fldChar w:fldCharType="begin"/>
    </w:r>
    <w:r>
      <w:instrText xml:space="preserve"> PAGE </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746EF" w14:textId="77777777" w:rsidR="00836732" w:rsidRDefault="008367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7C03" w14:textId="25469B2E" w:rsidR="00836732" w:rsidRDefault="00836732">
    <w:pPr>
      <w:pStyle w:val="Footer"/>
      <w:jc w:val="right"/>
    </w:pPr>
    <w:r>
      <w:t xml:space="preserve">Page </w:t>
    </w:r>
    <w:sdt>
      <w:sdtPr>
        <w:id w:val="-4422257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7E40DD5" w14:textId="7A676834" w:rsidR="00836732" w:rsidRPr="00085452" w:rsidRDefault="00836732" w:rsidP="00BB2D2E">
    <w:pPr>
      <w:pStyle w:val="Footer"/>
      <w:jc w:val="cen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91A0B" w14:textId="77777777" w:rsidR="007875FD" w:rsidRDefault="007875FD">
      <w:r>
        <w:separator/>
      </w:r>
    </w:p>
  </w:footnote>
  <w:footnote w:type="continuationSeparator" w:id="0">
    <w:p w14:paraId="2C11BE20" w14:textId="77777777" w:rsidR="007875FD" w:rsidRDefault="007875FD">
      <w:r>
        <w:continuationSeparator/>
      </w:r>
    </w:p>
  </w:footnote>
  <w:footnote w:type="continuationNotice" w:id="1">
    <w:p w14:paraId="00A1EF4A" w14:textId="77777777" w:rsidR="007875FD" w:rsidRDefault="007875FD">
      <w:pPr>
        <w:spacing w:before="0" w:after="0"/>
      </w:pPr>
    </w:p>
  </w:footnote>
  <w:footnote w:id="2">
    <w:p w14:paraId="53F582CD" w14:textId="37C71AD0" w:rsidR="00836732" w:rsidRPr="004604E6" w:rsidRDefault="00836732" w:rsidP="004604E6">
      <w:pPr>
        <w:pStyle w:val="Bullet10"/>
        <w:numPr>
          <w:ilvl w:val="0"/>
          <w:numId w:val="0"/>
        </w:numPr>
        <w:rPr>
          <w:sz w:val="22"/>
          <w:szCs w:val="18"/>
        </w:rPr>
      </w:pPr>
      <w:r>
        <w:rPr>
          <w:rStyle w:val="FootnoteReference"/>
        </w:rPr>
        <w:footnoteRef/>
      </w:r>
      <w:r>
        <w:t xml:space="preserve"> </w:t>
      </w:r>
      <w:r w:rsidRPr="004604E6">
        <w:rPr>
          <w:sz w:val="22"/>
          <w:szCs w:val="18"/>
        </w:rPr>
        <w:t>In order to operate as efficiently, and produce as little waste as possible, we strongly suggest to the fullest extent practicable reducing duplication. This can include: joint planning processes</w:t>
      </w:r>
      <w:r>
        <w:rPr>
          <w:sz w:val="22"/>
          <w:szCs w:val="18"/>
        </w:rPr>
        <w:t>,</w:t>
      </w:r>
      <w:r w:rsidRPr="004604E6">
        <w:rPr>
          <w:sz w:val="22"/>
          <w:szCs w:val="18"/>
        </w:rPr>
        <w:t xml:space="preserve"> </w:t>
      </w:r>
      <w:r>
        <w:rPr>
          <w:sz w:val="22"/>
          <w:szCs w:val="18"/>
        </w:rPr>
        <w:t>j</w:t>
      </w:r>
      <w:r w:rsidRPr="004604E6">
        <w:rPr>
          <w:sz w:val="22"/>
          <w:szCs w:val="18"/>
        </w:rPr>
        <w:t>oint environmental research and studies</w:t>
      </w:r>
      <w:r>
        <w:rPr>
          <w:sz w:val="22"/>
          <w:szCs w:val="18"/>
        </w:rPr>
        <w:t>,</w:t>
      </w:r>
      <w:r w:rsidRPr="004604E6">
        <w:rPr>
          <w:sz w:val="22"/>
          <w:szCs w:val="18"/>
        </w:rPr>
        <w:t xml:space="preserve"> joint public hearings, joint EAs and joint EISs</w:t>
      </w:r>
      <w:r>
        <w:rPr>
          <w:sz w:val="22"/>
          <w:szCs w:val="18"/>
        </w:rPr>
        <w:t>.</w:t>
      </w:r>
    </w:p>
  </w:footnote>
  <w:footnote w:id="3">
    <w:p w14:paraId="6DB0F2CF" w14:textId="4FE1EDF7" w:rsidR="00836732" w:rsidRDefault="00836732">
      <w:pPr>
        <w:pStyle w:val="FootnoteText"/>
      </w:pPr>
      <w:r>
        <w:rPr>
          <w:rStyle w:val="FootnoteReference"/>
        </w:rPr>
        <w:footnoteRef/>
      </w:r>
      <w:r>
        <w:t xml:space="preserve"> If much of the affected public is non-English speaking, the notice must be bilingual.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93BF" w14:textId="77777777" w:rsidR="00836732" w:rsidRDefault="00836732" w:rsidP="00C661A9">
    <w:pPr>
      <w:pStyle w:val="chapheadingpage2on"/>
    </w:pPr>
    <w:r>
      <w:t>ch 2: environmental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CEF8" w14:textId="77777777" w:rsidR="00836732" w:rsidRDefault="00836732" w:rsidP="00C661A9">
    <w:pPr>
      <w:pStyle w:val="chapheadingpage2on"/>
    </w:pPr>
    <w:r>
      <w:t>ch 2: environmental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67477" w14:textId="7A3DF751" w:rsidR="00836732" w:rsidRPr="00C661A9" w:rsidRDefault="00836732" w:rsidP="00C661A9">
    <w:pPr>
      <w:pStyle w:val="Heading1"/>
    </w:pPr>
    <w:r>
      <w:rPr>
        <w:noProof/>
      </w:rPr>
      <mc:AlternateContent>
        <mc:Choice Requires="wps">
          <w:drawing>
            <wp:anchor distT="0" distB="0" distL="114300" distR="114300" simplePos="0" relativeHeight="251658240" behindDoc="1" locked="0" layoutInCell="0" allowOverlap="1" wp14:anchorId="099BEAA5" wp14:editId="7227C1AD">
              <wp:simplePos x="0" y="0"/>
              <wp:positionH relativeFrom="column">
                <wp:posOffset>-45720</wp:posOffset>
              </wp:positionH>
              <wp:positionV relativeFrom="paragraph">
                <wp:posOffset>0</wp:posOffset>
              </wp:positionV>
              <wp:extent cx="1371600" cy="914400"/>
              <wp:effectExtent l="11430" t="9525" r="7620" b="9525"/>
              <wp:wrapTight wrapText="right">
                <wp:wrapPolygon edited="0">
                  <wp:start x="-150" y="0"/>
                  <wp:lineTo x="-150" y="21600"/>
                  <wp:lineTo x="21750" y="21600"/>
                  <wp:lineTo x="21750" y="0"/>
                  <wp:lineTo x="-150" y="0"/>
                </wp:wrapPolygon>
              </wp:wrapTight>
              <wp:docPr id="2086059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000000"/>
                      </a:solidFill>
                      <a:ln w="9525">
                        <a:solidFill>
                          <a:srgbClr val="000000"/>
                        </a:solidFill>
                        <a:miter lim="800000"/>
                        <a:headEnd/>
                        <a:tailEnd/>
                      </a:ln>
                    </wps:spPr>
                    <wps:txbx>
                      <w:txbxContent>
                        <w:p w14:paraId="47A72C7D" w14:textId="77777777" w:rsidR="00836732" w:rsidRDefault="00836732" w:rsidP="00C661A9">
                          <w:pPr>
                            <w:pStyle w:val="chapterno"/>
                          </w:pPr>
                          <w:r>
                            <w:t>CH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BEAA5" id="_x0000_t202" coordsize="21600,21600" o:spt="202" path="m,l,21600r21600,l21600,xe">
              <v:stroke joinstyle="miter"/>
              <v:path gradientshapeok="t" o:connecttype="rect"/>
            </v:shapetype>
            <v:shape id="Text Box 10" o:spid="_x0000_s1035" type="#_x0000_t202" style="position:absolute;left:0;text-align:left;margin-left:-3.6pt;margin-top:0;width:10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" o:allowincell="f" fillcolor="black">
              <v:textbox>
                <w:txbxContent>
                  <w:p w14:paraId="47A72C7D" w14:textId="77777777" w:rsidR="00836732" w:rsidRDefault="00836732" w:rsidP="00C661A9">
                    <w:pPr>
                      <w:pStyle w:val="chapterno"/>
                    </w:pPr>
                    <w:r>
                      <w:t>CH 2</w:t>
                    </w:r>
                  </w:p>
                </w:txbxContent>
              </v:textbox>
              <w10:wrap type="tight" side="right"/>
            </v:shape>
          </w:pict>
        </mc:Fallback>
      </mc:AlternateContent>
    </w:r>
    <w:proofErr w:type="gramStart"/>
    <w:r>
      <w:t>environmental  requirements</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C74D" w14:textId="77777777" w:rsidR="00836732" w:rsidRDefault="008367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B3CE" w14:textId="77777777" w:rsidR="00836732" w:rsidRPr="00C661A9" w:rsidRDefault="00836732" w:rsidP="00C66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1440"/>
        </w:tabs>
      </w:pPr>
      <w:rPr>
        <w:rFonts w:ascii="Arial" w:hAnsi="Arial"/>
        <w:sz w:val="22"/>
      </w:rPr>
    </w:lvl>
  </w:abstractNum>
  <w:abstractNum w:abstractNumId="1" w15:restartNumberingAfterBreak="0">
    <w:nsid w:val="00E87F8A"/>
    <w:multiLevelType w:val="hybridMultilevel"/>
    <w:tmpl w:val="25B88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DD5E63"/>
    <w:multiLevelType w:val="hybridMultilevel"/>
    <w:tmpl w:val="AA14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66033"/>
    <w:multiLevelType w:val="singleLevel"/>
    <w:tmpl w:val="4514895C"/>
    <w:lvl w:ilvl="0">
      <w:start w:val="1"/>
      <w:numFmt w:val="bullet"/>
      <w:pStyle w:val="NumberedList"/>
      <w:lvlText w:val=""/>
      <w:lvlJc w:val="left"/>
      <w:pPr>
        <w:tabs>
          <w:tab w:val="num" w:pos="1440"/>
        </w:tabs>
        <w:ind w:left="1440" w:hanging="360"/>
      </w:pPr>
      <w:rPr>
        <w:rFonts w:ascii="Monotype Sorts" w:hAnsi="Monotype Sorts" w:hint="default"/>
        <w:sz w:val="20"/>
      </w:rPr>
    </w:lvl>
  </w:abstractNum>
  <w:abstractNum w:abstractNumId="4" w15:restartNumberingAfterBreak="0">
    <w:nsid w:val="07725105"/>
    <w:multiLevelType w:val="hybridMultilevel"/>
    <w:tmpl w:val="D9507E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21423"/>
    <w:multiLevelType w:val="hybridMultilevel"/>
    <w:tmpl w:val="427A9D6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C5817"/>
    <w:multiLevelType w:val="hybridMultilevel"/>
    <w:tmpl w:val="79D45A6E"/>
    <w:lvl w:ilvl="0" w:tplc="8CF40A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D14D6"/>
    <w:multiLevelType w:val="hybridMultilevel"/>
    <w:tmpl w:val="4D1EDFE2"/>
    <w:lvl w:ilvl="0" w:tplc="8CF40A7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801AEA04">
      <w:start w:val="1"/>
      <w:numFmt w:val="bullet"/>
      <w:pStyle w:val="bullet4"/>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D23C0"/>
    <w:multiLevelType w:val="hybridMultilevel"/>
    <w:tmpl w:val="57BC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92DAC"/>
    <w:multiLevelType w:val="hybridMultilevel"/>
    <w:tmpl w:val="BDC4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72B87"/>
    <w:multiLevelType w:val="hybridMultilevel"/>
    <w:tmpl w:val="D8BC2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60106C"/>
    <w:multiLevelType w:val="hybridMultilevel"/>
    <w:tmpl w:val="6592EA7E"/>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004D5"/>
    <w:multiLevelType w:val="hybridMultilevel"/>
    <w:tmpl w:val="C4B4E0E0"/>
    <w:lvl w:ilvl="0" w:tplc="04090005">
      <w:start w:val="1"/>
      <w:numFmt w:val="bullet"/>
      <w:lvlText w:val=""/>
      <w:lvlJc w:val="left"/>
      <w:pPr>
        <w:tabs>
          <w:tab w:val="num" w:pos="1800"/>
        </w:tabs>
        <w:ind w:left="1800" w:hanging="360"/>
      </w:pPr>
      <w:rPr>
        <w:rFonts w:ascii="Wingdings" w:hAnsi="Wingdings" w:hint="default"/>
        <w:b w:val="0"/>
        <w:i w:val="0"/>
        <w:color w:val="auto"/>
        <w:sz w:val="24"/>
        <w:szCs w:val="24"/>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F081D9B"/>
    <w:multiLevelType w:val="hybridMultilevel"/>
    <w:tmpl w:val="EC807184"/>
    <w:lvl w:ilvl="0" w:tplc="FFFFFFFF">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11A151E"/>
    <w:multiLevelType w:val="hybridMultilevel"/>
    <w:tmpl w:val="9C0E3778"/>
    <w:lvl w:ilvl="0" w:tplc="8CF40A7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15745"/>
    <w:multiLevelType w:val="singleLevel"/>
    <w:tmpl w:val="F57AEAB0"/>
    <w:lvl w:ilvl="0">
      <w:start w:val="1"/>
      <w:numFmt w:val="bullet"/>
      <w:pStyle w:val="bullet"/>
      <w:lvlText w:val=""/>
      <w:lvlJc w:val="left"/>
      <w:pPr>
        <w:tabs>
          <w:tab w:val="num" w:pos="432"/>
        </w:tabs>
        <w:ind w:left="432" w:hanging="432"/>
      </w:pPr>
      <w:rPr>
        <w:rFonts w:ascii="Monotype Sorts" w:hAnsi="Monotype Sorts" w:hint="default"/>
        <w:sz w:val="22"/>
      </w:rPr>
    </w:lvl>
  </w:abstractNum>
  <w:abstractNum w:abstractNumId="16" w15:restartNumberingAfterBreak="0">
    <w:nsid w:val="23343C13"/>
    <w:multiLevelType w:val="hybridMultilevel"/>
    <w:tmpl w:val="BEDC94FA"/>
    <w:lvl w:ilvl="0" w:tplc="FFFFFFFF">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C74356"/>
    <w:multiLevelType w:val="hybridMultilevel"/>
    <w:tmpl w:val="59BAA74E"/>
    <w:lvl w:ilvl="0" w:tplc="04090001">
      <w:start w:val="1"/>
      <w:numFmt w:val="bullet"/>
      <w:lvlText w:val=""/>
      <w:lvlJc w:val="left"/>
      <w:pPr>
        <w:ind w:left="1440" w:hanging="360"/>
      </w:pPr>
      <w:rPr>
        <w:rFonts w:ascii="Symbol" w:hAnsi="Symbol" w:hint="default"/>
        <w:color w:val="auto"/>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7FA6A67"/>
    <w:multiLevelType w:val="hybridMultilevel"/>
    <w:tmpl w:val="7CB4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F6F58"/>
    <w:multiLevelType w:val="hybridMultilevel"/>
    <w:tmpl w:val="D020193C"/>
    <w:lvl w:ilvl="0" w:tplc="8CF40A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10B61"/>
    <w:multiLevelType w:val="hybridMultilevel"/>
    <w:tmpl w:val="8CA4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2E34EF"/>
    <w:multiLevelType w:val="hybridMultilevel"/>
    <w:tmpl w:val="C06EBDDA"/>
    <w:lvl w:ilvl="0" w:tplc="8CF40A7A">
      <w:start w:val="1"/>
      <w:numFmt w:val="bullet"/>
      <w:lvlText w:val=""/>
      <w:lvlJc w:val="left"/>
      <w:pPr>
        <w:ind w:left="795" w:hanging="360"/>
      </w:pPr>
      <w:rPr>
        <w:rFonts w:ascii="Symbol" w:hAnsi="Symbol" w:hint="default"/>
        <w:color w:val="auto"/>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398A223C"/>
    <w:multiLevelType w:val="hybridMultilevel"/>
    <w:tmpl w:val="8A404458"/>
    <w:lvl w:ilvl="0" w:tplc="88269282">
      <w:start w:val="1"/>
      <w:numFmt w:val="bullet"/>
      <w:pStyle w:val="bullet1"/>
      <w:lvlText w:val=""/>
      <w:lvlJc w:val="left"/>
      <w:pPr>
        <w:tabs>
          <w:tab w:val="num" w:pos="360"/>
        </w:tabs>
        <w:ind w:left="0" w:firstLine="0"/>
      </w:pPr>
      <w:rPr>
        <w:rFonts w:ascii="Wingdings" w:hAnsi="Wingdings" w:hint="default"/>
        <w:b w:val="0"/>
        <w:i w:val="0"/>
        <w:sz w:val="22"/>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Wingdings" w:hAnsi="Wingdings" w:hint="default"/>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202D7"/>
    <w:multiLevelType w:val="hybridMultilevel"/>
    <w:tmpl w:val="39AA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73E26"/>
    <w:multiLevelType w:val="hybridMultilevel"/>
    <w:tmpl w:val="D51AF128"/>
    <w:lvl w:ilvl="0" w:tplc="8CF40A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E1A2A"/>
    <w:multiLevelType w:val="hybridMultilevel"/>
    <w:tmpl w:val="71AE8CDC"/>
    <w:lvl w:ilvl="0" w:tplc="B4A00D02">
      <w:start w:val="1"/>
      <w:numFmt w:val="bullet"/>
      <w:pStyle w:val="Bullet10"/>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72E95"/>
    <w:multiLevelType w:val="hybridMultilevel"/>
    <w:tmpl w:val="AAA2A8D8"/>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3">
      <w:start w:val="1"/>
      <w:numFmt w:val="bullet"/>
      <w:lvlText w:val="o"/>
      <w:lvlJc w:val="left"/>
      <w:pPr>
        <w:ind w:left="1800" w:hanging="360"/>
      </w:pPr>
      <w:rPr>
        <w:rFonts w:ascii="Courier New" w:hAnsi="Courier New" w:cs="Courier New"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DE639ED"/>
    <w:multiLevelType w:val="hybridMultilevel"/>
    <w:tmpl w:val="A01E24B0"/>
    <w:lvl w:ilvl="0" w:tplc="B4A00D0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75F20"/>
    <w:multiLevelType w:val="hybridMultilevel"/>
    <w:tmpl w:val="52D2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C6DE3"/>
    <w:multiLevelType w:val="hybridMultilevel"/>
    <w:tmpl w:val="EB4A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57EF2"/>
    <w:multiLevelType w:val="hybridMultilevel"/>
    <w:tmpl w:val="BD224034"/>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E4ADA"/>
    <w:multiLevelType w:val="hybridMultilevel"/>
    <w:tmpl w:val="56D6E606"/>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67B3029B"/>
    <w:multiLevelType w:val="hybridMultilevel"/>
    <w:tmpl w:val="40406424"/>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078756A"/>
    <w:multiLevelType w:val="hybridMultilevel"/>
    <w:tmpl w:val="7D4C4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CC16A9"/>
    <w:multiLevelType w:val="singleLevel"/>
    <w:tmpl w:val="8CF40A7A"/>
    <w:lvl w:ilvl="0">
      <w:start w:val="1"/>
      <w:numFmt w:val="bullet"/>
      <w:lvlText w:val=""/>
      <w:lvlJc w:val="left"/>
      <w:pPr>
        <w:ind w:left="795" w:hanging="360"/>
      </w:pPr>
      <w:rPr>
        <w:rFonts w:ascii="Symbol" w:hAnsi="Symbol" w:hint="default"/>
        <w:b w:val="0"/>
        <w:i w:val="0"/>
        <w:color w:val="auto"/>
        <w:sz w:val="24"/>
        <w:szCs w:val="24"/>
      </w:rPr>
    </w:lvl>
  </w:abstractNum>
  <w:abstractNum w:abstractNumId="35" w15:restartNumberingAfterBreak="0">
    <w:nsid w:val="716D2767"/>
    <w:multiLevelType w:val="hybridMultilevel"/>
    <w:tmpl w:val="B056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A5DD3"/>
    <w:multiLevelType w:val="hybridMultilevel"/>
    <w:tmpl w:val="6464D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2E2B12"/>
    <w:multiLevelType w:val="hybridMultilevel"/>
    <w:tmpl w:val="C4044498"/>
    <w:lvl w:ilvl="0" w:tplc="4E94D822">
      <w:start w:val="1"/>
      <w:numFmt w:val="bullet"/>
      <w:pStyle w:val="Bullet2"/>
      <w:lvlText w:val=""/>
      <w:lvlJc w:val="left"/>
      <w:pPr>
        <w:ind w:left="216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8" w15:restartNumberingAfterBreak="0">
    <w:nsid w:val="783B3677"/>
    <w:multiLevelType w:val="singleLevel"/>
    <w:tmpl w:val="9EBAC3D6"/>
    <w:lvl w:ilvl="0">
      <w:start w:val="1"/>
      <w:numFmt w:val="bullet"/>
      <w:pStyle w:val="bullet20"/>
      <w:lvlText w:val=""/>
      <w:lvlJc w:val="left"/>
      <w:pPr>
        <w:tabs>
          <w:tab w:val="num" w:pos="792"/>
        </w:tabs>
        <w:ind w:left="792" w:hanging="360"/>
      </w:pPr>
      <w:rPr>
        <w:rFonts w:ascii="Wingdings" w:hAnsi="Wingdings" w:hint="default"/>
        <w:sz w:val="22"/>
      </w:rPr>
    </w:lvl>
  </w:abstractNum>
  <w:abstractNum w:abstractNumId="39" w15:restartNumberingAfterBreak="0">
    <w:nsid w:val="7A8502D8"/>
    <w:multiLevelType w:val="hybridMultilevel"/>
    <w:tmpl w:val="4A0ACBE0"/>
    <w:lvl w:ilvl="0" w:tplc="04090003">
      <w:start w:val="1"/>
      <w:numFmt w:val="bullet"/>
      <w:lvlText w:val="o"/>
      <w:lvlJc w:val="left"/>
      <w:pPr>
        <w:tabs>
          <w:tab w:val="num" w:pos="2070"/>
        </w:tabs>
        <w:ind w:left="2070" w:hanging="360"/>
      </w:pPr>
      <w:rPr>
        <w:rFonts w:ascii="Courier New" w:hAnsi="Courier New" w:cs="Courier New" w:hint="default"/>
        <w:b w:val="0"/>
        <w:i w:val="0"/>
        <w:color w:val="auto"/>
        <w:sz w:val="24"/>
        <w:szCs w:val="24"/>
      </w:rPr>
    </w:lvl>
    <w:lvl w:ilvl="1" w:tplc="FFFFFFFF">
      <w:start w:val="1"/>
      <w:numFmt w:val="bullet"/>
      <w:lvlText w:val="o"/>
      <w:lvlJc w:val="left"/>
      <w:pPr>
        <w:tabs>
          <w:tab w:val="num" w:pos="2070"/>
        </w:tabs>
        <w:ind w:left="2070" w:hanging="360"/>
      </w:pPr>
      <w:rPr>
        <w:rFonts w:ascii="Courier New" w:hAnsi="Courier New" w:hint="default"/>
      </w:rPr>
    </w:lvl>
    <w:lvl w:ilvl="2" w:tplc="FFFFFFFF">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40" w15:restartNumberingAfterBreak="0">
    <w:nsid w:val="7B0531C1"/>
    <w:multiLevelType w:val="hybridMultilevel"/>
    <w:tmpl w:val="CDD6047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571191">
    <w:abstractNumId w:val="3"/>
  </w:num>
  <w:num w:numId="2" w16cid:durableId="709257890">
    <w:abstractNumId w:val="15"/>
  </w:num>
  <w:num w:numId="3" w16cid:durableId="246887461">
    <w:abstractNumId w:val="34"/>
  </w:num>
  <w:num w:numId="4" w16cid:durableId="1825507828">
    <w:abstractNumId w:val="38"/>
  </w:num>
  <w:num w:numId="5" w16cid:durableId="350453375">
    <w:abstractNumId w:val="0"/>
    <w:lvlOverride w:ilvl="0">
      <w:startOverride w:val="1"/>
      <w:lvl w:ilvl="0">
        <w:start w:val="1"/>
        <w:numFmt w:val="decimal"/>
        <w:pStyle w:val="Quick1"/>
        <w:lvlText w:val="%1."/>
        <w:lvlJc w:val="left"/>
      </w:lvl>
    </w:lvlOverride>
  </w:num>
  <w:num w:numId="6" w16cid:durableId="1295646989">
    <w:abstractNumId w:val="39"/>
  </w:num>
  <w:num w:numId="7" w16cid:durableId="565071714">
    <w:abstractNumId w:val="22"/>
  </w:num>
  <w:num w:numId="8" w16cid:durableId="543710232">
    <w:abstractNumId w:val="25"/>
  </w:num>
  <w:num w:numId="9" w16cid:durableId="470483573">
    <w:abstractNumId w:val="7"/>
  </w:num>
  <w:num w:numId="10" w16cid:durableId="2132896822">
    <w:abstractNumId w:val="37"/>
  </w:num>
  <w:num w:numId="11" w16cid:durableId="1266157242">
    <w:abstractNumId w:val="16"/>
  </w:num>
  <w:num w:numId="12" w16cid:durableId="1452019625">
    <w:abstractNumId w:val="10"/>
  </w:num>
  <w:num w:numId="13" w16cid:durableId="1498572424">
    <w:abstractNumId w:val="18"/>
  </w:num>
  <w:num w:numId="14" w16cid:durableId="53623649">
    <w:abstractNumId w:val="20"/>
  </w:num>
  <w:num w:numId="15" w16cid:durableId="1684240444">
    <w:abstractNumId w:val="5"/>
  </w:num>
  <w:num w:numId="16" w16cid:durableId="782310468">
    <w:abstractNumId w:val="30"/>
  </w:num>
  <w:num w:numId="17" w16cid:durableId="2025813842">
    <w:abstractNumId w:val="27"/>
  </w:num>
  <w:num w:numId="18" w16cid:durableId="898131193">
    <w:abstractNumId w:val="21"/>
  </w:num>
  <w:num w:numId="19" w16cid:durableId="18971438">
    <w:abstractNumId w:val="24"/>
  </w:num>
  <w:num w:numId="20" w16cid:durableId="744299915">
    <w:abstractNumId w:val="14"/>
  </w:num>
  <w:num w:numId="21" w16cid:durableId="1383363614">
    <w:abstractNumId w:val="33"/>
  </w:num>
  <w:num w:numId="22" w16cid:durableId="2054570298">
    <w:abstractNumId w:val="12"/>
  </w:num>
  <w:num w:numId="23" w16cid:durableId="1377586856">
    <w:abstractNumId w:val="31"/>
  </w:num>
  <w:num w:numId="24" w16cid:durableId="2021614554">
    <w:abstractNumId w:val="32"/>
  </w:num>
  <w:num w:numId="25" w16cid:durableId="414060679">
    <w:abstractNumId w:val="29"/>
  </w:num>
  <w:num w:numId="26" w16cid:durableId="331614536">
    <w:abstractNumId w:val="28"/>
  </w:num>
  <w:num w:numId="27" w16cid:durableId="540166294">
    <w:abstractNumId w:val="23"/>
  </w:num>
  <w:num w:numId="28" w16cid:durableId="2043743587">
    <w:abstractNumId w:val="9"/>
  </w:num>
  <w:num w:numId="29" w16cid:durableId="1386028238">
    <w:abstractNumId w:val="6"/>
  </w:num>
  <w:num w:numId="30" w16cid:durableId="1665472005">
    <w:abstractNumId w:val="19"/>
  </w:num>
  <w:num w:numId="31" w16cid:durableId="1937522613">
    <w:abstractNumId w:val="2"/>
  </w:num>
  <w:num w:numId="32" w16cid:durableId="1249192823">
    <w:abstractNumId w:val="1"/>
  </w:num>
  <w:num w:numId="33" w16cid:durableId="1844778765">
    <w:abstractNumId w:val="35"/>
  </w:num>
  <w:num w:numId="34" w16cid:durableId="1573657538">
    <w:abstractNumId w:val="8"/>
  </w:num>
  <w:num w:numId="35" w16cid:durableId="308442747">
    <w:abstractNumId w:val="11"/>
  </w:num>
  <w:num w:numId="36" w16cid:durableId="80152231">
    <w:abstractNumId w:val="36"/>
  </w:num>
  <w:num w:numId="37" w16cid:durableId="1447190372">
    <w:abstractNumId w:val="26"/>
  </w:num>
  <w:num w:numId="38" w16cid:durableId="18941265">
    <w:abstractNumId w:val="17"/>
  </w:num>
  <w:num w:numId="39" w16cid:durableId="51320195">
    <w:abstractNumId w:val="13"/>
  </w:num>
  <w:num w:numId="40" w16cid:durableId="950475550">
    <w:abstractNumId w:val="40"/>
  </w:num>
  <w:num w:numId="41" w16cid:durableId="1984694625">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9"/>
    <w:rsid w:val="00000191"/>
    <w:rsid w:val="00000C01"/>
    <w:rsid w:val="00003C9E"/>
    <w:rsid w:val="00003DD1"/>
    <w:rsid w:val="000042E4"/>
    <w:rsid w:val="00006D57"/>
    <w:rsid w:val="00006EFA"/>
    <w:rsid w:val="000070AC"/>
    <w:rsid w:val="0001164E"/>
    <w:rsid w:val="000119B5"/>
    <w:rsid w:val="00011B3F"/>
    <w:rsid w:val="000120C0"/>
    <w:rsid w:val="00012B6F"/>
    <w:rsid w:val="0001520E"/>
    <w:rsid w:val="00015375"/>
    <w:rsid w:val="000161D1"/>
    <w:rsid w:val="000203B1"/>
    <w:rsid w:val="00021937"/>
    <w:rsid w:val="000249C8"/>
    <w:rsid w:val="000267C9"/>
    <w:rsid w:val="00026C58"/>
    <w:rsid w:val="0003372B"/>
    <w:rsid w:val="00034282"/>
    <w:rsid w:val="0003509F"/>
    <w:rsid w:val="00035DDC"/>
    <w:rsid w:val="000361CB"/>
    <w:rsid w:val="00040AE5"/>
    <w:rsid w:val="00040B2C"/>
    <w:rsid w:val="0004267C"/>
    <w:rsid w:val="00042FDB"/>
    <w:rsid w:val="000430AC"/>
    <w:rsid w:val="00043645"/>
    <w:rsid w:val="00043F8F"/>
    <w:rsid w:val="00044F40"/>
    <w:rsid w:val="00045971"/>
    <w:rsid w:val="00050306"/>
    <w:rsid w:val="00052102"/>
    <w:rsid w:val="00052B84"/>
    <w:rsid w:val="000531B4"/>
    <w:rsid w:val="000533F6"/>
    <w:rsid w:val="00060118"/>
    <w:rsid w:val="000656DA"/>
    <w:rsid w:val="00065EE4"/>
    <w:rsid w:val="00067914"/>
    <w:rsid w:val="00073232"/>
    <w:rsid w:val="00073CD8"/>
    <w:rsid w:val="00074A32"/>
    <w:rsid w:val="00074C3E"/>
    <w:rsid w:val="00075340"/>
    <w:rsid w:val="0007669A"/>
    <w:rsid w:val="000768BB"/>
    <w:rsid w:val="00077089"/>
    <w:rsid w:val="000772C1"/>
    <w:rsid w:val="00080995"/>
    <w:rsid w:val="0008176B"/>
    <w:rsid w:val="00091C56"/>
    <w:rsid w:val="00092943"/>
    <w:rsid w:val="00092DBC"/>
    <w:rsid w:val="00093EAF"/>
    <w:rsid w:val="000959B8"/>
    <w:rsid w:val="000968E6"/>
    <w:rsid w:val="00096F05"/>
    <w:rsid w:val="000A1467"/>
    <w:rsid w:val="000A170A"/>
    <w:rsid w:val="000A1CD5"/>
    <w:rsid w:val="000A4AE3"/>
    <w:rsid w:val="000A4B41"/>
    <w:rsid w:val="000A6200"/>
    <w:rsid w:val="000B36CA"/>
    <w:rsid w:val="000B54CD"/>
    <w:rsid w:val="000B726D"/>
    <w:rsid w:val="000C262C"/>
    <w:rsid w:val="000C2FBD"/>
    <w:rsid w:val="000D07E1"/>
    <w:rsid w:val="000D12F1"/>
    <w:rsid w:val="000D2DBD"/>
    <w:rsid w:val="000D5D20"/>
    <w:rsid w:val="000D5FC2"/>
    <w:rsid w:val="000E0680"/>
    <w:rsid w:val="000E0E44"/>
    <w:rsid w:val="000E117C"/>
    <w:rsid w:val="000E3C3F"/>
    <w:rsid w:val="000E52CE"/>
    <w:rsid w:val="000F330B"/>
    <w:rsid w:val="000F4A60"/>
    <w:rsid w:val="000F6AB1"/>
    <w:rsid w:val="00104DEA"/>
    <w:rsid w:val="00105381"/>
    <w:rsid w:val="00106047"/>
    <w:rsid w:val="001078B7"/>
    <w:rsid w:val="0011128E"/>
    <w:rsid w:val="00111C78"/>
    <w:rsid w:val="00116A57"/>
    <w:rsid w:val="00117607"/>
    <w:rsid w:val="00121640"/>
    <w:rsid w:val="00121B9D"/>
    <w:rsid w:val="00121C8A"/>
    <w:rsid w:val="0012449E"/>
    <w:rsid w:val="00124914"/>
    <w:rsid w:val="00124E25"/>
    <w:rsid w:val="00124FDE"/>
    <w:rsid w:val="00125BCE"/>
    <w:rsid w:val="0012677B"/>
    <w:rsid w:val="0012724D"/>
    <w:rsid w:val="00130B5F"/>
    <w:rsid w:val="00132ED1"/>
    <w:rsid w:val="001334D8"/>
    <w:rsid w:val="0013378C"/>
    <w:rsid w:val="001337F2"/>
    <w:rsid w:val="001364EC"/>
    <w:rsid w:val="0013674E"/>
    <w:rsid w:val="00140D07"/>
    <w:rsid w:val="0014173B"/>
    <w:rsid w:val="00142B68"/>
    <w:rsid w:val="00144B7E"/>
    <w:rsid w:val="0014549E"/>
    <w:rsid w:val="00146DC0"/>
    <w:rsid w:val="00147984"/>
    <w:rsid w:val="00150F18"/>
    <w:rsid w:val="001570D3"/>
    <w:rsid w:val="0016062B"/>
    <w:rsid w:val="00162F22"/>
    <w:rsid w:val="00163E2E"/>
    <w:rsid w:val="00163F5E"/>
    <w:rsid w:val="0016609E"/>
    <w:rsid w:val="001738AD"/>
    <w:rsid w:val="00173C9A"/>
    <w:rsid w:val="00177105"/>
    <w:rsid w:val="00177133"/>
    <w:rsid w:val="00180875"/>
    <w:rsid w:val="001822F3"/>
    <w:rsid w:val="00183D5C"/>
    <w:rsid w:val="00183DBE"/>
    <w:rsid w:val="00185C4C"/>
    <w:rsid w:val="00190B4E"/>
    <w:rsid w:val="00193210"/>
    <w:rsid w:val="00194A77"/>
    <w:rsid w:val="00196203"/>
    <w:rsid w:val="00196DD0"/>
    <w:rsid w:val="00196F42"/>
    <w:rsid w:val="001976A2"/>
    <w:rsid w:val="001978CA"/>
    <w:rsid w:val="001A0725"/>
    <w:rsid w:val="001A1769"/>
    <w:rsid w:val="001A2387"/>
    <w:rsid w:val="001A31D9"/>
    <w:rsid w:val="001A43DE"/>
    <w:rsid w:val="001A4A27"/>
    <w:rsid w:val="001A5DE1"/>
    <w:rsid w:val="001A61AF"/>
    <w:rsid w:val="001A6828"/>
    <w:rsid w:val="001A7E17"/>
    <w:rsid w:val="001B086F"/>
    <w:rsid w:val="001B0E10"/>
    <w:rsid w:val="001B146D"/>
    <w:rsid w:val="001B1744"/>
    <w:rsid w:val="001B1FD2"/>
    <w:rsid w:val="001B336C"/>
    <w:rsid w:val="001B6FE6"/>
    <w:rsid w:val="001B76ED"/>
    <w:rsid w:val="001B7E2E"/>
    <w:rsid w:val="001C10D9"/>
    <w:rsid w:val="001C1B60"/>
    <w:rsid w:val="001C21DE"/>
    <w:rsid w:val="001C4F80"/>
    <w:rsid w:val="001C68FA"/>
    <w:rsid w:val="001C6A69"/>
    <w:rsid w:val="001D0578"/>
    <w:rsid w:val="001D4AB8"/>
    <w:rsid w:val="001D6FEC"/>
    <w:rsid w:val="001D7D9F"/>
    <w:rsid w:val="001E19C7"/>
    <w:rsid w:val="001E66DA"/>
    <w:rsid w:val="001E787F"/>
    <w:rsid w:val="001F2138"/>
    <w:rsid w:val="001F419A"/>
    <w:rsid w:val="001F64EF"/>
    <w:rsid w:val="00201AFA"/>
    <w:rsid w:val="00203ABE"/>
    <w:rsid w:val="00206513"/>
    <w:rsid w:val="00207E60"/>
    <w:rsid w:val="00210484"/>
    <w:rsid w:val="0021195B"/>
    <w:rsid w:val="00217E87"/>
    <w:rsid w:val="00221E34"/>
    <w:rsid w:val="0022349A"/>
    <w:rsid w:val="00224B09"/>
    <w:rsid w:val="00224B83"/>
    <w:rsid w:val="00224FFC"/>
    <w:rsid w:val="00226733"/>
    <w:rsid w:val="00230AEC"/>
    <w:rsid w:val="002314BA"/>
    <w:rsid w:val="00233409"/>
    <w:rsid w:val="00234528"/>
    <w:rsid w:val="00236B95"/>
    <w:rsid w:val="0023770F"/>
    <w:rsid w:val="0024032C"/>
    <w:rsid w:val="00240B19"/>
    <w:rsid w:val="00242323"/>
    <w:rsid w:val="0024323F"/>
    <w:rsid w:val="002454CF"/>
    <w:rsid w:val="0024714D"/>
    <w:rsid w:val="00247F36"/>
    <w:rsid w:val="00247FA5"/>
    <w:rsid w:val="0025406B"/>
    <w:rsid w:val="002545E8"/>
    <w:rsid w:val="00254608"/>
    <w:rsid w:val="0025546C"/>
    <w:rsid w:val="00255A0C"/>
    <w:rsid w:val="00256117"/>
    <w:rsid w:val="00257F31"/>
    <w:rsid w:val="0026146B"/>
    <w:rsid w:val="00262D59"/>
    <w:rsid w:val="0026471E"/>
    <w:rsid w:val="002708F7"/>
    <w:rsid w:val="002716BB"/>
    <w:rsid w:val="00271CC5"/>
    <w:rsid w:val="00272DD3"/>
    <w:rsid w:val="00273A22"/>
    <w:rsid w:val="00273B10"/>
    <w:rsid w:val="00273D1B"/>
    <w:rsid w:val="00282AB3"/>
    <w:rsid w:val="00283290"/>
    <w:rsid w:val="00284892"/>
    <w:rsid w:val="00286A6B"/>
    <w:rsid w:val="002914CF"/>
    <w:rsid w:val="002917C3"/>
    <w:rsid w:val="00293239"/>
    <w:rsid w:val="00296563"/>
    <w:rsid w:val="002965B2"/>
    <w:rsid w:val="0029703D"/>
    <w:rsid w:val="002975D6"/>
    <w:rsid w:val="002A2D36"/>
    <w:rsid w:val="002A6628"/>
    <w:rsid w:val="002A6F85"/>
    <w:rsid w:val="002A7037"/>
    <w:rsid w:val="002B03D9"/>
    <w:rsid w:val="002B1E4D"/>
    <w:rsid w:val="002B1F3E"/>
    <w:rsid w:val="002B58F1"/>
    <w:rsid w:val="002B6E83"/>
    <w:rsid w:val="002C0A64"/>
    <w:rsid w:val="002C1A68"/>
    <w:rsid w:val="002C3BE3"/>
    <w:rsid w:val="002C4765"/>
    <w:rsid w:val="002C54C6"/>
    <w:rsid w:val="002C5770"/>
    <w:rsid w:val="002C731F"/>
    <w:rsid w:val="002C744E"/>
    <w:rsid w:val="002C7D6A"/>
    <w:rsid w:val="002D0DBA"/>
    <w:rsid w:val="002D13BA"/>
    <w:rsid w:val="002D3D15"/>
    <w:rsid w:val="002D4ED2"/>
    <w:rsid w:val="002D5056"/>
    <w:rsid w:val="002D669A"/>
    <w:rsid w:val="002D6CB8"/>
    <w:rsid w:val="002D6DED"/>
    <w:rsid w:val="002E0B0D"/>
    <w:rsid w:val="002E16C1"/>
    <w:rsid w:val="002E1BE7"/>
    <w:rsid w:val="002E30A3"/>
    <w:rsid w:val="002E31B6"/>
    <w:rsid w:val="002E36A9"/>
    <w:rsid w:val="002E610A"/>
    <w:rsid w:val="002E6927"/>
    <w:rsid w:val="002E6A38"/>
    <w:rsid w:val="002E716D"/>
    <w:rsid w:val="002F19CE"/>
    <w:rsid w:val="002F1FB1"/>
    <w:rsid w:val="002F3335"/>
    <w:rsid w:val="002F7866"/>
    <w:rsid w:val="00301363"/>
    <w:rsid w:val="0030182F"/>
    <w:rsid w:val="00301C21"/>
    <w:rsid w:val="00302AA0"/>
    <w:rsid w:val="00304738"/>
    <w:rsid w:val="00305967"/>
    <w:rsid w:val="00305976"/>
    <w:rsid w:val="0030664C"/>
    <w:rsid w:val="00306EC8"/>
    <w:rsid w:val="00310264"/>
    <w:rsid w:val="003104FB"/>
    <w:rsid w:val="00310E05"/>
    <w:rsid w:val="00312AC5"/>
    <w:rsid w:val="00315A41"/>
    <w:rsid w:val="00316733"/>
    <w:rsid w:val="00324759"/>
    <w:rsid w:val="003252C1"/>
    <w:rsid w:val="00325769"/>
    <w:rsid w:val="003258E2"/>
    <w:rsid w:val="003279B5"/>
    <w:rsid w:val="00327F30"/>
    <w:rsid w:val="00331185"/>
    <w:rsid w:val="0033123A"/>
    <w:rsid w:val="00331442"/>
    <w:rsid w:val="00332ABB"/>
    <w:rsid w:val="0033346B"/>
    <w:rsid w:val="003342B7"/>
    <w:rsid w:val="003348EC"/>
    <w:rsid w:val="0033547A"/>
    <w:rsid w:val="00340493"/>
    <w:rsid w:val="00343649"/>
    <w:rsid w:val="00344551"/>
    <w:rsid w:val="003455A4"/>
    <w:rsid w:val="00345AEF"/>
    <w:rsid w:val="003500C3"/>
    <w:rsid w:val="0035192F"/>
    <w:rsid w:val="00353024"/>
    <w:rsid w:val="00356B2A"/>
    <w:rsid w:val="00360AC4"/>
    <w:rsid w:val="00361D33"/>
    <w:rsid w:val="00361E3A"/>
    <w:rsid w:val="003624AF"/>
    <w:rsid w:val="00362BAE"/>
    <w:rsid w:val="00364F63"/>
    <w:rsid w:val="0036648D"/>
    <w:rsid w:val="00370486"/>
    <w:rsid w:val="003743A5"/>
    <w:rsid w:val="003762ED"/>
    <w:rsid w:val="00376FE2"/>
    <w:rsid w:val="003771F4"/>
    <w:rsid w:val="00380265"/>
    <w:rsid w:val="003816E6"/>
    <w:rsid w:val="00381963"/>
    <w:rsid w:val="00382F10"/>
    <w:rsid w:val="0038310F"/>
    <w:rsid w:val="00384145"/>
    <w:rsid w:val="003849C1"/>
    <w:rsid w:val="00384AFC"/>
    <w:rsid w:val="00384E73"/>
    <w:rsid w:val="0038524A"/>
    <w:rsid w:val="003859EE"/>
    <w:rsid w:val="00394B3B"/>
    <w:rsid w:val="00396403"/>
    <w:rsid w:val="003A0B0D"/>
    <w:rsid w:val="003A1AA3"/>
    <w:rsid w:val="003A3E01"/>
    <w:rsid w:val="003A57DC"/>
    <w:rsid w:val="003A6CD0"/>
    <w:rsid w:val="003A739F"/>
    <w:rsid w:val="003A745A"/>
    <w:rsid w:val="003B4DD1"/>
    <w:rsid w:val="003B53DA"/>
    <w:rsid w:val="003B5714"/>
    <w:rsid w:val="003C090D"/>
    <w:rsid w:val="003C0E08"/>
    <w:rsid w:val="003C1292"/>
    <w:rsid w:val="003C278B"/>
    <w:rsid w:val="003C2AC0"/>
    <w:rsid w:val="003C2EED"/>
    <w:rsid w:val="003C3FF3"/>
    <w:rsid w:val="003C4FF0"/>
    <w:rsid w:val="003D1E9C"/>
    <w:rsid w:val="003D3AC5"/>
    <w:rsid w:val="003D568C"/>
    <w:rsid w:val="003D7183"/>
    <w:rsid w:val="003E058B"/>
    <w:rsid w:val="003E0AE7"/>
    <w:rsid w:val="003E14FF"/>
    <w:rsid w:val="003E2446"/>
    <w:rsid w:val="003E348F"/>
    <w:rsid w:val="003E3BBF"/>
    <w:rsid w:val="003E52E5"/>
    <w:rsid w:val="003E551D"/>
    <w:rsid w:val="003E56DE"/>
    <w:rsid w:val="003E6EDD"/>
    <w:rsid w:val="003F03E9"/>
    <w:rsid w:val="003F0AAD"/>
    <w:rsid w:val="003F30EF"/>
    <w:rsid w:val="003F7B3D"/>
    <w:rsid w:val="00400860"/>
    <w:rsid w:val="00404F98"/>
    <w:rsid w:val="00405B68"/>
    <w:rsid w:val="00406799"/>
    <w:rsid w:val="0040722E"/>
    <w:rsid w:val="004132EC"/>
    <w:rsid w:val="004162F8"/>
    <w:rsid w:val="00416EB3"/>
    <w:rsid w:val="004221C8"/>
    <w:rsid w:val="00430253"/>
    <w:rsid w:val="00430489"/>
    <w:rsid w:val="00430BF4"/>
    <w:rsid w:val="00430F3C"/>
    <w:rsid w:val="004335ED"/>
    <w:rsid w:val="004344E0"/>
    <w:rsid w:val="00434BE3"/>
    <w:rsid w:val="00435E26"/>
    <w:rsid w:val="00440D6D"/>
    <w:rsid w:val="00443EEA"/>
    <w:rsid w:val="004440A3"/>
    <w:rsid w:val="00444DBE"/>
    <w:rsid w:val="0045268E"/>
    <w:rsid w:val="00452A49"/>
    <w:rsid w:val="00453A56"/>
    <w:rsid w:val="00453CC0"/>
    <w:rsid w:val="00456BA0"/>
    <w:rsid w:val="0045747C"/>
    <w:rsid w:val="0045755D"/>
    <w:rsid w:val="00457B67"/>
    <w:rsid w:val="004604E6"/>
    <w:rsid w:val="004622BA"/>
    <w:rsid w:val="0046398C"/>
    <w:rsid w:val="00464068"/>
    <w:rsid w:val="00465FB1"/>
    <w:rsid w:val="00467E5D"/>
    <w:rsid w:val="00467F97"/>
    <w:rsid w:val="00471417"/>
    <w:rsid w:val="004740B9"/>
    <w:rsid w:val="004800C1"/>
    <w:rsid w:val="0048058A"/>
    <w:rsid w:val="00487E8A"/>
    <w:rsid w:val="0049058C"/>
    <w:rsid w:val="004917F6"/>
    <w:rsid w:val="00495760"/>
    <w:rsid w:val="00495AD9"/>
    <w:rsid w:val="0049636E"/>
    <w:rsid w:val="0049755D"/>
    <w:rsid w:val="004A0F28"/>
    <w:rsid w:val="004A1EBF"/>
    <w:rsid w:val="004A4AC4"/>
    <w:rsid w:val="004A4DA0"/>
    <w:rsid w:val="004A5449"/>
    <w:rsid w:val="004A57B9"/>
    <w:rsid w:val="004A5DD3"/>
    <w:rsid w:val="004A71A5"/>
    <w:rsid w:val="004B0617"/>
    <w:rsid w:val="004B2AB4"/>
    <w:rsid w:val="004B312F"/>
    <w:rsid w:val="004B604B"/>
    <w:rsid w:val="004B6682"/>
    <w:rsid w:val="004C2295"/>
    <w:rsid w:val="004C3E58"/>
    <w:rsid w:val="004C4172"/>
    <w:rsid w:val="004C654B"/>
    <w:rsid w:val="004C77B2"/>
    <w:rsid w:val="004D4BA3"/>
    <w:rsid w:val="004D5E53"/>
    <w:rsid w:val="004D6007"/>
    <w:rsid w:val="004D7679"/>
    <w:rsid w:val="004E0966"/>
    <w:rsid w:val="004E0E49"/>
    <w:rsid w:val="004E12CE"/>
    <w:rsid w:val="004E39AB"/>
    <w:rsid w:val="004E3F52"/>
    <w:rsid w:val="004E6CCF"/>
    <w:rsid w:val="004F052D"/>
    <w:rsid w:val="004F5F01"/>
    <w:rsid w:val="004F6594"/>
    <w:rsid w:val="004F69D4"/>
    <w:rsid w:val="004F728E"/>
    <w:rsid w:val="004F7E06"/>
    <w:rsid w:val="00502A39"/>
    <w:rsid w:val="005037B3"/>
    <w:rsid w:val="00504B4B"/>
    <w:rsid w:val="005050C5"/>
    <w:rsid w:val="00507CA6"/>
    <w:rsid w:val="00511970"/>
    <w:rsid w:val="005134B9"/>
    <w:rsid w:val="00520A32"/>
    <w:rsid w:val="00522414"/>
    <w:rsid w:val="00522ECE"/>
    <w:rsid w:val="00525C45"/>
    <w:rsid w:val="0052748E"/>
    <w:rsid w:val="005275EE"/>
    <w:rsid w:val="00530328"/>
    <w:rsid w:val="00531C80"/>
    <w:rsid w:val="00536034"/>
    <w:rsid w:val="00543438"/>
    <w:rsid w:val="00543880"/>
    <w:rsid w:val="00543938"/>
    <w:rsid w:val="0054419A"/>
    <w:rsid w:val="00544CB6"/>
    <w:rsid w:val="00546C63"/>
    <w:rsid w:val="00547E85"/>
    <w:rsid w:val="00550334"/>
    <w:rsid w:val="0055170F"/>
    <w:rsid w:val="00552BF7"/>
    <w:rsid w:val="00552ED4"/>
    <w:rsid w:val="005530F4"/>
    <w:rsid w:val="00554D57"/>
    <w:rsid w:val="00556CCA"/>
    <w:rsid w:val="0055722C"/>
    <w:rsid w:val="00560D78"/>
    <w:rsid w:val="0056171F"/>
    <w:rsid w:val="00562A5D"/>
    <w:rsid w:val="00562B86"/>
    <w:rsid w:val="0056333F"/>
    <w:rsid w:val="0056415C"/>
    <w:rsid w:val="005657E2"/>
    <w:rsid w:val="00565A7B"/>
    <w:rsid w:val="0056677F"/>
    <w:rsid w:val="0056741C"/>
    <w:rsid w:val="005704F8"/>
    <w:rsid w:val="0057287B"/>
    <w:rsid w:val="00575E74"/>
    <w:rsid w:val="00577E87"/>
    <w:rsid w:val="00580B3C"/>
    <w:rsid w:val="00582E1B"/>
    <w:rsid w:val="0058306E"/>
    <w:rsid w:val="00584B21"/>
    <w:rsid w:val="0059055C"/>
    <w:rsid w:val="00592AFB"/>
    <w:rsid w:val="00592FD8"/>
    <w:rsid w:val="00593499"/>
    <w:rsid w:val="00594866"/>
    <w:rsid w:val="005950FA"/>
    <w:rsid w:val="0059527F"/>
    <w:rsid w:val="005958E1"/>
    <w:rsid w:val="00595DE5"/>
    <w:rsid w:val="005A215B"/>
    <w:rsid w:val="005A2588"/>
    <w:rsid w:val="005A3118"/>
    <w:rsid w:val="005A45D1"/>
    <w:rsid w:val="005B361C"/>
    <w:rsid w:val="005B5FE9"/>
    <w:rsid w:val="005B7671"/>
    <w:rsid w:val="005C096C"/>
    <w:rsid w:val="005C0A36"/>
    <w:rsid w:val="005C1C57"/>
    <w:rsid w:val="005C2353"/>
    <w:rsid w:val="005C6F32"/>
    <w:rsid w:val="005D2804"/>
    <w:rsid w:val="005D31FB"/>
    <w:rsid w:val="005D34EF"/>
    <w:rsid w:val="005D47A8"/>
    <w:rsid w:val="005D5CCF"/>
    <w:rsid w:val="005E144B"/>
    <w:rsid w:val="005E25A0"/>
    <w:rsid w:val="005E38A9"/>
    <w:rsid w:val="005E45FC"/>
    <w:rsid w:val="005E57A3"/>
    <w:rsid w:val="005E5B32"/>
    <w:rsid w:val="005E6D1A"/>
    <w:rsid w:val="005F2096"/>
    <w:rsid w:val="005F4F87"/>
    <w:rsid w:val="00600D9E"/>
    <w:rsid w:val="00602DF7"/>
    <w:rsid w:val="0060309A"/>
    <w:rsid w:val="00604990"/>
    <w:rsid w:val="006125DE"/>
    <w:rsid w:val="00626BCC"/>
    <w:rsid w:val="00630126"/>
    <w:rsid w:val="006307D1"/>
    <w:rsid w:val="0063137B"/>
    <w:rsid w:val="0063150C"/>
    <w:rsid w:val="00632E41"/>
    <w:rsid w:val="00634D55"/>
    <w:rsid w:val="00635ED2"/>
    <w:rsid w:val="00636AE7"/>
    <w:rsid w:val="0063723C"/>
    <w:rsid w:val="00641618"/>
    <w:rsid w:val="00641A02"/>
    <w:rsid w:val="00642C32"/>
    <w:rsid w:val="00642D66"/>
    <w:rsid w:val="00646355"/>
    <w:rsid w:val="00646897"/>
    <w:rsid w:val="00654CBC"/>
    <w:rsid w:val="00655D05"/>
    <w:rsid w:val="0065686B"/>
    <w:rsid w:val="00657DD9"/>
    <w:rsid w:val="00662A7B"/>
    <w:rsid w:val="00663FE0"/>
    <w:rsid w:val="006659D2"/>
    <w:rsid w:val="006706DB"/>
    <w:rsid w:val="00671032"/>
    <w:rsid w:val="00671536"/>
    <w:rsid w:val="0067208E"/>
    <w:rsid w:val="006725FF"/>
    <w:rsid w:val="00673C2D"/>
    <w:rsid w:val="00674360"/>
    <w:rsid w:val="00680506"/>
    <w:rsid w:val="00681641"/>
    <w:rsid w:val="006827A1"/>
    <w:rsid w:val="00682E43"/>
    <w:rsid w:val="00683516"/>
    <w:rsid w:val="00683F72"/>
    <w:rsid w:val="006844D2"/>
    <w:rsid w:val="006933AC"/>
    <w:rsid w:val="00695107"/>
    <w:rsid w:val="00695FA3"/>
    <w:rsid w:val="00696E97"/>
    <w:rsid w:val="00697381"/>
    <w:rsid w:val="00697948"/>
    <w:rsid w:val="00697FA4"/>
    <w:rsid w:val="006A1360"/>
    <w:rsid w:val="006A14BA"/>
    <w:rsid w:val="006A32AE"/>
    <w:rsid w:val="006A35F6"/>
    <w:rsid w:val="006A4874"/>
    <w:rsid w:val="006A58E1"/>
    <w:rsid w:val="006A7169"/>
    <w:rsid w:val="006B1202"/>
    <w:rsid w:val="006B36B0"/>
    <w:rsid w:val="006B37BA"/>
    <w:rsid w:val="006B66D4"/>
    <w:rsid w:val="006B67F7"/>
    <w:rsid w:val="006B783E"/>
    <w:rsid w:val="006B793A"/>
    <w:rsid w:val="006B7E79"/>
    <w:rsid w:val="006C063E"/>
    <w:rsid w:val="006C0932"/>
    <w:rsid w:val="006C3BA4"/>
    <w:rsid w:val="006C40BA"/>
    <w:rsid w:val="006C417C"/>
    <w:rsid w:val="006D0749"/>
    <w:rsid w:val="006D119A"/>
    <w:rsid w:val="006D26D7"/>
    <w:rsid w:val="006D2D15"/>
    <w:rsid w:val="006D6165"/>
    <w:rsid w:val="006E48BD"/>
    <w:rsid w:val="006E4CD8"/>
    <w:rsid w:val="006E73D7"/>
    <w:rsid w:val="006F0184"/>
    <w:rsid w:val="006F07E4"/>
    <w:rsid w:val="006F1A66"/>
    <w:rsid w:val="006F419E"/>
    <w:rsid w:val="006F4CCA"/>
    <w:rsid w:val="006F5534"/>
    <w:rsid w:val="006F5ECE"/>
    <w:rsid w:val="006F76C8"/>
    <w:rsid w:val="0070000E"/>
    <w:rsid w:val="0070121C"/>
    <w:rsid w:val="0070195A"/>
    <w:rsid w:val="00701CEA"/>
    <w:rsid w:val="007020B2"/>
    <w:rsid w:val="007035F1"/>
    <w:rsid w:val="00703959"/>
    <w:rsid w:val="00715A6A"/>
    <w:rsid w:val="00717B76"/>
    <w:rsid w:val="00721072"/>
    <w:rsid w:val="0072288B"/>
    <w:rsid w:val="00724566"/>
    <w:rsid w:val="00724891"/>
    <w:rsid w:val="00726055"/>
    <w:rsid w:val="007264C2"/>
    <w:rsid w:val="00726D1E"/>
    <w:rsid w:val="00727137"/>
    <w:rsid w:val="00731754"/>
    <w:rsid w:val="00731D6F"/>
    <w:rsid w:val="00732CA8"/>
    <w:rsid w:val="007332AF"/>
    <w:rsid w:val="00733979"/>
    <w:rsid w:val="007339BB"/>
    <w:rsid w:val="0073489B"/>
    <w:rsid w:val="0073529C"/>
    <w:rsid w:val="00735A39"/>
    <w:rsid w:val="00735AEF"/>
    <w:rsid w:val="00736DFC"/>
    <w:rsid w:val="0074164E"/>
    <w:rsid w:val="007418B1"/>
    <w:rsid w:val="00743A89"/>
    <w:rsid w:val="007459B5"/>
    <w:rsid w:val="0075048E"/>
    <w:rsid w:val="00750CDA"/>
    <w:rsid w:val="00756146"/>
    <w:rsid w:val="00760576"/>
    <w:rsid w:val="0076218D"/>
    <w:rsid w:val="00762BC7"/>
    <w:rsid w:val="00763EB3"/>
    <w:rsid w:val="007642A1"/>
    <w:rsid w:val="00764CBF"/>
    <w:rsid w:val="00765CA5"/>
    <w:rsid w:val="00767AA1"/>
    <w:rsid w:val="007707EC"/>
    <w:rsid w:val="00770C59"/>
    <w:rsid w:val="00771011"/>
    <w:rsid w:val="007722B8"/>
    <w:rsid w:val="00772AC8"/>
    <w:rsid w:val="007734E6"/>
    <w:rsid w:val="0077352C"/>
    <w:rsid w:val="00773DA1"/>
    <w:rsid w:val="007809B4"/>
    <w:rsid w:val="007818EB"/>
    <w:rsid w:val="00781D3D"/>
    <w:rsid w:val="0078206D"/>
    <w:rsid w:val="00782A5F"/>
    <w:rsid w:val="0078383F"/>
    <w:rsid w:val="007852A7"/>
    <w:rsid w:val="007866A0"/>
    <w:rsid w:val="007875FD"/>
    <w:rsid w:val="00787F14"/>
    <w:rsid w:val="00790FD3"/>
    <w:rsid w:val="00791037"/>
    <w:rsid w:val="007918E3"/>
    <w:rsid w:val="007925AC"/>
    <w:rsid w:val="00793F7F"/>
    <w:rsid w:val="00795F7A"/>
    <w:rsid w:val="00796705"/>
    <w:rsid w:val="0079675F"/>
    <w:rsid w:val="007A1571"/>
    <w:rsid w:val="007A24F2"/>
    <w:rsid w:val="007A41C3"/>
    <w:rsid w:val="007A682B"/>
    <w:rsid w:val="007B11E3"/>
    <w:rsid w:val="007B1FF7"/>
    <w:rsid w:val="007B2D68"/>
    <w:rsid w:val="007B3F6E"/>
    <w:rsid w:val="007C0736"/>
    <w:rsid w:val="007C0BF8"/>
    <w:rsid w:val="007C4646"/>
    <w:rsid w:val="007C4674"/>
    <w:rsid w:val="007C4D15"/>
    <w:rsid w:val="007C5A90"/>
    <w:rsid w:val="007C5DBD"/>
    <w:rsid w:val="007C7933"/>
    <w:rsid w:val="007D06E5"/>
    <w:rsid w:val="007D13CC"/>
    <w:rsid w:val="007D1908"/>
    <w:rsid w:val="007D405D"/>
    <w:rsid w:val="007D4664"/>
    <w:rsid w:val="007D549E"/>
    <w:rsid w:val="007D5C98"/>
    <w:rsid w:val="007D60DA"/>
    <w:rsid w:val="007E153F"/>
    <w:rsid w:val="007E1582"/>
    <w:rsid w:val="007E1E0E"/>
    <w:rsid w:val="007E2E2E"/>
    <w:rsid w:val="007E3B9B"/>
    <w:rsid w:val="007E542C"/>
    <w:rsid w:val="007E5C23"/>
    <w:rsid w:val="007E6F36"/>
    <w:rsid w:val="007F0E51"/>
    <w:rsid w:val="007F1DA8"/>
    <w:rsid w:val="007F2482"/>
    <w:rsid w:val="007F3A77"/>
    <w:rsid w:val="00800159"/>
    <w:rsid w:val="00804983"/>
    <w:rsid w:val="00804AE5"/>
    <w:rsid w:val="008053DF"/>
    <w:rsid w:val="0081000F"/>
    <w:rsid w:val="00813774"/>
    <w:rsid w:val="008138DE"/>
    <w:rsid w:val="00813CF1"/>
    <w:rsid w:val="00814388"/>
    <w:rsid w:val="00820A02"/>
    <w:rsid w:val="0082329F"/>
    <w:rsid w:val="008260B2"/>
    <w:rsid w:val="00826B54"/>
    <w:rsid w:val="00827544"/>
    <w:rsid w:val="008309A6"/>
    <w:rsid w:val="00830C44"/>
    <w:rsid w:val="00831995"/>
    <w:rsid w:val="00832C62"/>
    <w:rsid w:val="00836732"/>
    <w:rsid w:val="00843C0B"/>
    <w:rsid w:val="00844296"/>
    <w:rsid w:val="00844A48"/>
    <w:rsid w:val="008467CE"/>
    <w:rsid w:val="00846CB8"/>
    <w:rsid w:val="00847038"/>
    <w:rsid w:val="00850F05"/>
    <w:rsid w:val="0085201A"/>
    <w:rsid w:val="00854050"/>
    <w:rsid w:val="008562CE"/>
    <w:rsid w:val="00857250"/>
    <w:rsid w:val="00862059"/>
    <w:rsid w:val="00862233"/>
    <w:rsid w:val="00862705"/>
    <w:rsid w:val="00862E31"/>
    <w:rsid w:val="00862E35"/>
    <w:rsid w:val="00863192"/>
    <w:rsid w:val="008636CB"/>
    <w:rsid w:val="00867F77"/>
    <w:rsid w:val="0087440E"/>
    <w:rsid w:val="00875ECB"/>
    <w:rsid w:val="0087794B"/>
    <w:rsid w:val="00880EB2"/>
    <w:rsid w:val="0088177B"/>
    <w:rsid w:val="0088236E"/>
    <w:rsid w:val="00882A89"/>
    <w:rsid w:val="00885515"/>
    <w:rsid w:val="00885B72"/>
    <w:rsid w:val="008861AB"/>
    <w:rsid w:val="00886D84"/>
    <w:rsid w:val="0089504E"/>
    <w:rsid w:val="008955B6"/>
    <w:rsid w:val="00897D14"/>
    <w:rsid w:val="00897F2A"/>
    <w:rsid w:val="008A16E5"/>
    <w:rsid w:val="008A25E6"/>
    <w:rsid w:val="008A44F4"/>
    <w:rsid w:val="008A55FC"/>
    <w:rsid w:val="008A5A69"/>
    <w:rsid w:val="008A6349"/>
    <w:rsid w:val="008A6D5D"/>
    <w:rsid w:val="008A77D1"/>
    <w:rsid w:val="008B25B9"/>
    <w:rsid w:val="008B52C1"/>
    <w:rsid w:val="008B6295"/>
    <w:rsid w:val="008B63A6"/>
    <w:rsid w:val="008B7F5F"/>
    <w:rsid w:val="008C06CB"/>
    <w:rsid w:val="008C1D07"/>
    <w:rsid w:val="008C3A0A"/>
    <w:rsid w:val="008C5BF5"/>
    <w:rsid w:val="008C6223"/>
    <w:rsid w:val="008D07B8"/>
    <w:rsid w:val="008D103D"/>
    <w:rsid w:val="008D262E"/>
    <w:rsid w:val="008D4EEB"/>
    <w:rsid w:val="008E13D8"/>
    <w:rsid w:val="008E1613"/>
    <w:rsid w:val="008E2C5F"/>
    <w:rsid w:val="008E7F46"/>
    <w:rsid w:val="008F18D0"/>
    <w:rsid w:val="008F1BDC"/>
    <w:rsid w:val="008F376F"/>
    <w:rsid w:val="008F5651"/>
    <w:rsid w:val="008F57F6"/>
    <w:rsid w:val="008F7E67"/>
    <w:rsid w:val="009023E8"/>
    <w:rsid w:val="00903F54"/>
    <w:rsid w:val="009042D7"/>
    <w:rsid w:val="00906799"/>
    <w:rsid w:val="009073FE"/>
    <w:rsid w:val="00907EA8"/>
    <w:rsid w:val="00910057"/>
    <w:rsid w:val="0091147E"/>
    <w:rsid w:val="00912F5A"/>
    <w:rsid w:val="00913C1B"/>
    <w:rsid w:val="00914A13"/>
    <w:rsid w:val="00915B43"/>
    <w:rsid w:val="0091719A"/>
    <w:rsid w:val="00917E58"/>
    <w:rsid w:val="00924303"/>
    <w:rsid w:val="00924772"/>
    <w:rsid w:val="00924D74"/>
    <w:rsid w:val="0092592A"/>
    <w:rsid w:val="00930441"/>
    <w:rsid w:val="00931AB1"/>
    <w:rsid w:val="009360E5"/>
    <w:rsid w:val="009361E4"/>
    <w:rsid w:val="00937862"/>
    <w:rsid w:val="0094106A"/>
    <w:rsid w:val="009422E8"/>
    <w:rsid w:val="00943491"/>
    <w:rsid w:val="0094466F"/>
    <w:rsid w:val="009458B0"/>
    <w:rsid w:val="00947A51"/>
    <w:rsid w:val="00947BE6"/>
    <w:rsid w:val="00950387"/>
    <w:rsid w:val="009513A4"/>
    <w:rsid w:val="0095144A"/>
    <w:rsid w:val="00951C82"/>
    <w:rsid w:val="009537F2"/>
    <w:rsid w:val="00955402"/>
    <w:rsid w:val="00961DF0"/>
    <w:rsid w:val="00962FEA"/>
    <w:rsid w:val="00963A65"/>
    <w:rsid w:val="0096679E"/>
    <w:rsid w:val="00967706"/>
    <w:rsid w:val="009715D0"/>
    <w:rsid w:val="009730B4"/>
    <w:rsid w:val="009742AC"/>
    <w:rsid w:val="00974524"/>
    <w:rsid w:val="009760D0"/>
    <w:rsid w:val="0098177B"/>
    <w:rsid w:val="00981DF6"/>
    <w:rsid w:val="009823D8"/>
    <w:rsid w:val="00982E59"/>
    <w:rsid w:val="00983D9A"/>
    <w:rsid w:val="00984447"/>
    <w:rsid w:val="009848E8"/>
    <w:rsid w:val="0098723B"/>
    <w:rsid w:val="00987C60"/>
    <w:rsid w:val="009913DF"/>
    <w:rsid w:val="00991AB8"/>
    <w:rsid w:val="009921E2"/>
    <w:rsid w:val="00992E62"/>
    <w:rsid w:val="0099319C"/>
    <w:rsid w:val="00995EFC"/>
    <w:rsid w:val="00996002"/>
    <w:rsid w:val="009961D1"/>
    <w:rsid w:val="009979C4"/>
    <w:rsid w:val="00997DE5"/>
    <w:rsid w:val="009A1960"/>
    <w:rsid w:val="009A2E94"/>
    <w:rsid w:val="009A2F60"/>
    <w:rsid w:val="009A4422"/>
    <w:rsid w:val="009A4648"/>
    <w:rsid w:val="009A583A"/>
    <w:rsid w:val="009A6535"/>
    <w:rsid w:val="009A7F20"/>
    <w:rsid w:val="009B044E"/>
    <w:rsid w:val="009B22A0"/>
    <w:rsid w:val="009B3BF5"/>
    <w:rsid w:val="009B3C40"/>
    <w:rsid w:val="009B3CC2"/>
    <w:rsid w:val="009C0C47"/>
    <w:rsid w:val="009C3679"/>
    <w:rsid w:val="009C5C40"/>
    <w:rsid w:val="009C6677"/>
    <w:rsid w:val="009C69BC"/>
    <w:rsid w:val="009C769E"/>
    <w:rsid w:val="009D03BA"/>
    <w:rsid w:val="009D0ADA"/>
    <w:rsid w:val="009D12CB"/>
    <w:rsid w:val="009D12EB"/>
    <w:rsid w:val="009D2FCD"/>
    <w:rsid w:val="009D4853"/>
    <w:rsid w:val="009D540D"/>
    <w:rsid w:val="009D77FA"/>
    <w:rsid w:val="009E06AD"/>
    <w:rsid w:val="009E1263"/>
    <w:rsid w:val="009E18BF"/>
    <w:rsid w:val="009E258A"/>
    <w:rsid w:val="009E264A"/>
    <w:rsid w:val="009E3186"/>
    <w:rsid w:val="009E3C62"/>
    <w:rsid w:val="009E40FF"/>
    <w:rsid w:val="009E4323"/>
    <w:rsid w:val="009E544F"/>
    <w:rsid w:val="009F0F33"/>
    <w:rsid w:val="009F79B0"/>
    <w:rsid w:val="00A00142"/>
    <w:rsid w:val="00A012F2"/>
    <w:rsid w:val="00A01CC6"/>
    <w:rsid w:val="00A05C08"/>
    <w:rsid w:val="00A0736E"/>
    <w:rsid w:val="00A1038F"/>
    <w:rsid w:val="00A11008"/>
    <w:rsid w:val="00A13087"/>
    <w:rsid w:val="00A15ABE"/>
    <w:rsid w:val="00A17AAE"/>
    <w:rsid w:val="00A2028C"/>
    <w:rsid w:val="00A20D4B"/>
    <w:rsid w:val="00A21B42"/>
    <w:rsid w:val="00A231D1"/>
    <w:rsid w:val="00A23A4D"/>
    <w:rsid w:val="00A23F92"/>
    <w:rsid w:val="00A253DC"/>
    <w:rsid w:val="00A26A64"/>
    <w:rsid w:val="00A277F5"/>
    <w:rsid w:val="00A27F88"/>
    <w:rsid w:val="00A30DE9"/>
    <w:rsid w:val="00A312D2"/>
    <w:rsid w:val="00A33A7A"/>
    <w:rsid w:val="00A3405C"/>
    <w:rsid w:val="00A34E53"/>
    <w:rsid w:val="00A34F7A"/>
    <w:rsid w:val="00A36314"/>
    <w:rsid w:val="00A434BC"/>
    <w:rsid w:val="00A43822"/>
    <w:rsid w:val="00A44CAD"/>
    <w:rsid w:val="00A44CBE"/>
    <w:rsid w:val="00A45082"/>
    <w:rsid w:val="00A46F71"/>
    <w:rsid w:val="00A47247"/>
    <w:rsid w:val="00A50EBA"/>
    <w:rsid w:val="00A51233"/>
    <w:rsid w:val="00A51717"/>
    <w:rsid w:val="00A51C55"/>
    <w:rsid w:val="00A52C78"/>
    <w:rsid w:val="00A534DD"/>
    <w:rsid w:val="00A53C80"/>
    <w:rsid w:val="00A5433B"/>
    <w:rsid w:val="00A554ED"/>
    <w:rsid w:val="00A55603"/>
    <w:rsid w:val="00A55D9A"/>
    <w:rsid w:val="00A57643"/>
    <w:rsid w:val="00A57D82"/>
    <w:rsid w:val="00A605E0"/>
    <w:rsid w:val="00A62A4B"/>
    <w:rsid w:val="00A6422C"/>
    <w:rsid w:val="00A642B5"/>
    <w:rsid w:val="00A6481A"/>
    <w:rsid w:val="00A700F6"/>
    <w:rsid w:val="00A71A39"/>
    <w:rsid w:val="00A72761"/>
    <w:rsid w:val="00A7376D"/>
    <w:rsid w:val="00A73A0F"/>
    <w:rsid w:val="00A74F2E"/>
    <w:rsid w:val="00A75BB5"/>
    <w:rsid w:val="00A76A11"/>
    <w:rsid w:val="00A76BC8"/>
    <w:rsid w:val="00A76BEB"/>
    <w:rsid w:val="00A76E42"/>
    <w:rsid w:val="00A77141"/>
    <w:rsid w:val="00A7739F"/>
    <w:rsid w:val="00A8414E"/>
    <w:rsid w:val="00A84734"/>
    <w:rsid w:val="00A847ED"/>
    <w:rsid w:val="00A90874"/>
    <w:rsid w:val="00A93D80"/>
    <w:rsid w:val="00A9546D"/>
    <w:rsid w:val="00AA093B"/>
    <w:rsid w:val="00AA4D1C"/>
    <w:rsid w:val="00AB0A23"/>
    <w:rsid w:val="00AB2432"/>
    <w:rsid w:val="00AB2BAE"/>
    <w:rsid w:val="00AB35E4"/>
    <w:rsid w:val="00AB474E"/>
    <w:rsid w:val="00AB6112"/>
    <w:rsid w:val="00AC20BE"/>
    <w:rsid w:val="00AC290E"/>
    <w:rsid w:val="00AC5FB9"/>
    <w:rsid w:val="00AC6007"/>
    <w:rsid w:val="00AC6303"/>
    <w:rsid w:val="00AC6B7D"/>
    <w:rsid w:val="00AC786D"/>
    <w:rsid w:val="00AC7E3B"/>
    <w:rsid w:val="00AD0C9E"/>
    <w:rsid w:val="00AD181F"/>
    <w:rsid w:val="00AD2D01"/>
    <w:rsid w:val="00AD347E"/>
    <w:rsid w:val="00AD500E"/>
    <w:rsid w:val="00AE02AB"/>
    <w:rsid w:val="00AE1E27"/>
    <w:rsid w:val="00AE2349"/>
    <w:rsid w:val="00AE354F"/>
    <w:rsid w:val="00AE3CD1"/>
    <w:rsid w:val="00AE6F1C"/>
    <w:rsid w:val="00AF0E8E"/>
    <w:rsid w:val="00AF3214"/>
    <w:rsid w:val="00AF725B"/>
    <w:rsid w:val="00AF7AC0"/>
    <w:rsid w:val="00B02801"/>
    <w:rsid w:val="00B064E3"/>
    <w:rsid w:val="00B10270"/>
    <w:rsid w:val="00B11206"/>
    <w:rsid w:val="00B12226"/>
    <w:rsid w:val="00B12470"/>
    <w:rsid w:val="00B12854"/>
    <w:rsid w:val="00B12EAB"/>
    <w:rsid w:val="00B13DF1"/>
    <w:rsid w:val="00B14CD0"/>
    <w:rsid w:val="00B1767F"/>
    <w:rsid w:val="00B214AF"/>
    <w:rsid w:val="00B21A2C"/>
    <w:rsid w:val="00B22DF4"/>
    <w:rsid w:val="00B230D3"/>
    <w:rsid w:val="00B23536"/>
    <w:rsid w:val="00B2603F"/>
    <w:rsid w:val="00B26C6F"/>
    <w:rsid w:val="00B304F4"/>
    <w:rsid w:val="00B31D99"/>
    <w:rsid w:val="00B324B2"/>
    <w:rsid w:val="00B33441"/>
    <w:rsid w:val="00B33A3E"/>
    <w:rsid w:val="00B35AAB"/>
    <w:rsid w:val="00B37147"/>
    <w:rsid w:val="00B3768E"/>
    <w:rsid w:val="00B41D20"/>
    <w:rsid w:val="00B472F1"/>
    <w:rsid w:val="00B50829"/>
    <w:rsid w:val="00B54B36"/>
    <w:rsid w:val="00B55EA6"/>
    <w:rsid w:val="00B55F5E"/>
    <w:rsid w:val="00B62966"/>
    <w:rsid w:val="00B6530C"/>
    <w:rsid w:val="00B65F80"/>
    <w:rsid w:val="00B67487"/>
    <w:rsid w:val="00B70EF8"/>
    <w:rsid w:val="00B721B7"/>
    <w:rsid w:val="00B7256A"/>
    <w:rsid w:val="00B75ED6"/>
    <w:rsid w:val="00B80481"/>
    <w:rsid w:val="00B83245"/>
    <w:rsid w:val="00B84A53"/>
    <w:rsid w:val="00B84EBA"/>
    <w:rsid w:val="00B863E7"/>
    <w:rsid w:val="00B86F2A"/>
    <w:rsid w:val="00B87F6D"/>
    <w:rsid w:val="00B90B50"/>
    <w:rsid w:val="00B92831"/>
    <w:rsid w:val="00B93868"/>
    <w:rsid w:val="00B93BAF"/>
    <w:rsid w:val="00B945E5"/>
    <w:rsid w:val="00B95470"/>
    <w:rsid w:val="00BA0CD7"/>
    <w:rsid w:val="00BA53BC"/>
    <w:rsid w:val="00BA72B6"/>
    <w:rsid w:val="00BB0F1D"/>
    <w:rsid w:val="00BB2D2E"/>
    <w:rsid w:val="00BB3579"/>
    <w:rsid w:val="00BB47E0"/>
    <w:rsid w:val="00BB6B36"/>
    <w:rsid w:val="00BB6B50"/>
    <w:rsid w:val="00BB72CA"/>
    <w:rsid w:val="00BC34E2"/>
    <w:rsid w:val="00BC714F"/>
    <w:rsid w:val="00BC7719"/>
    <w:rsid w:val="00BD0EFE"/>
    <w:rsid w:val="00BD3A67"/>
    <w:rsid w:val="00BD544B"/>
    <w:rsid w:val="00BD6F8B"/>
    <w:rsid w:val="00BE1BA7"/>
    <w:rsid w:val="00BE26D0"/>
    <w:rsid w:val="00BF37CC"/>
    <w:rsid w:val="00BF4FB8"/>
    <w:rsid w:val="00BF52F0"/>
    <w:rsid w:val="00C007E7"/>
    <w:rsid w:val="00C00AAB"/>
    <w:rsid w:val="00C00AFB"/>
    <w:rsid w:val="00C01D4A"/>
    <w:rsid w:val="00C02558"/>
    <w:rsid w:val="00C0280E"/>
    <w:rsid w:val="00C06006"/>
    <w:rsid w:val="00C06A87"/>
    <w:rsid w:val="00C126F4"/>
    <w:rsid w:val="00C1310D"/>
    <w:rsid w:val="00C134E9"/>
    <w:rsid w:val="00C140AE"/>
    <w:rsid w:val="00C15968"/>
    <w:rsid w:val="00C2028E"/>
    <w:rsid w:val="00C2463D"/>
    <w:rsid w:val="00C2485F"/>
    <w:rsid w:val="00C27B60"/>
    <w:rsid w:val="00C27FA7"/>
    <w:rsid w:val="00C31290"/>
    <w:rsid w:val="00C314F8"/>
    <w:rsid w:val="00C324C1"/>
    <w:rsid w:val="00C35905"/>
    <w:rsid w:val="00C367F6"/>
    <w:rsid w:val="00C37914"/>
    <w:rsid w:val="00C4017C"/>
    <w:rsid w:val="00C40AA6"/>
    <w:rsid w:val="00C4136B"/>
    <w:rsid w:val="00C4339D"/>
    <w:rsid w:val="00C4719D"/>
    <w:rsid w:val="00C47B85"/>
    <w:rsid w:val="00C5123A"/>
    <w:rsid w:val="00C536F7"/>
    <w:rsid w:val="00C5554B"/>
    <w:rsid w:val="00C55C61"/>
    <w:rsid w:val="00C576A5"/>
    <w:rsid w:val="00C57FE2"/>
    <w:rsid w:val="00C60702"/>
    <w:rsid w:val="00C61938"/>
    <w:rsid w:val="00C61FE8"/>
    <w:rsid w:val="00C64493"/>
    <w:rsid w:val="00C65BC4"/>
    <w:rsid w:val="00C661A9"/>
    <w:rsid w:val="00C71749"/>
    <w:rsid w:val="00C7211B"/>
    <w:rsid w:val="00C74D99"/>
    <w:rsid w:val="00C7561D"/>
    <w:rsid w:val="00C76760"/>
    <w:rsid w:val="00C76EDA"/>
    <w:rsid w:val="00C77845"/>
    <w:rsid w:val="00C77BAA"/>
    <w:rsid w:val="00C8135C"/>
    <w:rsid w:val="00C81BE5"/>
    <w:rsid w:val="00C830AC"/>
    <w:rsid w:val="00C83878"/>
    <w:rsid w:val="00C83B29"/>
    <w:rsid w:val="00C84E56"/>
    <w:rsid w:val="00C8507B"/>
    <w:rsid w:val="00C91D6E"/>
    <w:rsid w:val="00C92CCA"/>
    <w:rsid w:val="00C94705"/>
    <w:rsid w:val="00C95910"/>
    <w:rsid w:val="00C95E15"/>
    <w:rsid w:val="00C96F87"/>
    <w:rsid w:val="00C97B01"/>
    <w:rsid w:val="00CA2FF4"/>
    <w:rsid w:val="00CA32E8"/>
    <w:rsid w:val="00CA4416"/>
    <w:rsid w:val="00CA48C9"/>
    <w:rsid w:val="00CB043E"/>
    <w:rsid w:val="00CB160F"/>
    <w:rsid w:val="00CB1DE4"/>
    <w:rsid w:val="00CB3B64"/>
    <w:rsid w:val="00CB613F"/>
    <w:rsid w:val="00CB73EA"/>
    <w:rsid w:val="00CB78C8"/>
    <w:rsid w:val="00CC3A44"/>
    <w:rsid w:val="00CC5E8D"/>
    <w:rsid w:val="00CD0385"/>
    <w:rsid w:val="00CD0B42"/>
    <w:rsid w:val="00CD11AC"/>
    <w:rsid w:val="00CD1603"/>
    <w:rsid w:val="00CD1AAF"/>
    <w:rsid w:val="00CD215B"/>
    <w:rsid w:val="00CD22C0"/>
    <w:rsid w:val="00CD41A2"/>
    <w:rsid w:val="00CD43EE"/>
    <w:rsid w:val="00CD4F4D"/>
    <w:rsid w:val="00CD4FB6"/>
    <w:rsid w:val="00CD6679"/>
    <w:rsid w:val="00CD6C82"/>
    <w:rsid w:val="00CD70A3"/>
    <w:rsid w:val="00CD7EE6"/>
    <w:rsid w:val="00CE3685"/>
    <w:rsid w:val="00CE3D83"/>
    <w:rsid w:val="00CE60DC"/>
    <w:rsid w:val="00CF0A85"/>
    <w:rsid w:val="00CF0C43"/>
    <w:rsid w:val="00CF2CD7"/>
    <w:rsid w:val="00CF51C3"/>
    <w:rsid w:val="00CF7813"/>
    <w:rsid w:val="00CF7B79"/>
    <w:rsid w:val="00D010E0"/>
    <w:rsid w:val="00D012F5"/>
    <w:rsid w:val="00D026C1"/>
    <w:rsid w:val="00D02EA0"/>
    <w:rsid w:val="00D03B4A"/>
    <w:rsid w:val="00D05EF7"/>
    <w:rsid w:val="00D05FA9"/>
    <w:rsid w:val="00D06400"/>
    <w:rsid w:val="00D06AEB"/>
    <w:rsid w:val="00D0721B"/>
    <w:rsid w:val="00D10339"/>
    <w:rsid w:val="00D118DE"/>
    <w:rsid w:val="00D13830"/>
    <w:rsid w:val="00D1427B"/>
    <w:rsid w:val="00D17144"/>
    <w:rsid w:val="00D17BA9"/>
    <w:rsid w:val="00D20E3A"/>
    <w:rsid w:val="00D20FC1"/>
    <w:rsid w:val="00D2161A"/>
    <w:rsid w:val="00D223C8"/>
    <w:rsid w:val="00D257FB"/>
    <w:rsid w:val="00D2583D"/>
    <w:rsid w:val="00D30598"/>
    <w:rsid w:val="00D35969"/>
    <w:rsid w:val="00D40A6B"/>
    <w:rsid w:val="00D41150"/>
    <w:rsid w:val="00D46BCE"/>
    <w:rsid w:val="00D50E36"/>
    <w:rsid w:val="00D518D8"/>
    <w:rsid w:val="00D522D0"/>
    <w:rsid w:val="00D52D43"/>
    <w:rsid w:val="00D556E6"/>
    <w:rsid w:val="00D55B0E"/>
    <w:rsid w:val="00D55BA7"/>
    <w:rsid w:val="00D56533"/>
    <w:rsid w:val="00D56E63"/>
    <w:rsid w:val="00D6295F"/>
    <w:rsid w:val="00D63019"/>
    <w:rsid w:val="00D66E8D"/>
    <w:rsid w:val="00D70479"/>
    <w:rsid w:val="00D709C3"/>
    <w:rsid w:val="00D71148"/>
    <w:rsid w:val="00D7292C"/>
    <w:rsid w:val="00D7489D"/>
    <w:rsid w:val="00D7695E"/>
    <w:rsid w:val="00D76BC4"/>
    <w:rsid w:val="00D81FA8"/>
    <w:rsid w:val="00D84226"/>
    <w:rsid w:val="00D8530E"/>
    <w:rsid w:val="00D85D4B"/>
    <w:rsid w:val="00D85DD6"/>
    <w:rsid w:val="00D866C8"/>
    <w:rsid w:val="00D91F75"/>
    <w:rsid w:val="00D92CA1"/>
    <w:rsid w:val="00D9344A"/>
    <w:rsid w:val="00DA045F"/>
    <w:rsid w:val="00DA0997"/>
    <w:rsid w:val="00DA414D"/>
    <w:rsid w:val="00DA528D"/>
    <w:rsid w:val="00DB289A"/>
    <w:rsid w:val="00DB29DB"/>
    <w:rsid w:val="00DB4AB6"/>
    <w:rsid w:val="00DC025A"/>
    <w:rsid w:val="00DC0E8C"/>
    <w:rsid w:val="00DC6746"/>
    <w:rsid w:val="00DD0B15"/>
    <w:rsid w:val="00DD1D8C"/>
    <w:rsid w:val="00DD243F"/>
    <w:rsid w:val="00DD3458"/>
    <w:rsid w:val="00DD4758"/>
    <w:rsid w:val="00DD492F"/>
    <w:rsid w:val="00DD6C44"/>
    <w:rsid w:val="00DD6D35"/>
    <w:rsid w:val="00DD7E5C"/>
    <w:rsid w:val="00DE0897"/>
    <w:rsid w:val="00DE2957"/>
    <w:rsid w:val="00DE366A"/>
    <w:rsid w:val="00DE39DC"/>
    <w:rsid w:val="00DE4D7F"/>
    <w:rsid w:val="00DE6B37"/>
    <w:rsid w:val="00DE79C7"/>
    <w:rsid w:val="00DF0150"/>
    <w:rsid w:val="00DF08A3"/>
    <w:rsid w:val="00DF17C6"/>
    <w:rsid w:val="00DF1D73"/>
    <w:rsid w:val="00DF217B"/>
    <w:rsid w:val="00DF6FE3"/>
    <w:rsid w:val="00E00A91"/>
    <w:rsid w:val="00E024E3"/>
    <w:rsid w:val="00E052A1"/>
    <w:rsid w:val="00E06A9B"/>
    <w:rsid w:val="00E06ADA"/>
    <w:rsid w:val="00E06FB1"/>
    <w:rsid w:val="00E10FA2"/>
    <w:rsid w:val="00E11097"/>
    <w:rsid w:val="00E15EB1"/>
    <w:rsid w:val="00E215A0"/>
    <w:rsid w:val="00E2253F"/>
    <w:rsid w:val="00E239F9"/>
    <w:rsid w:val="00E247D8"/>
    <w:rsid w:val="00E253C3"/>
    <w:rsid w:val="00E26A03"/>
    <w:rsid w:val="00E302C9"/>
    <w:rsid w:val="00E327B5"/>
    <w:rsid w:val="00E330EB"/>
    <w:rsid w:val="00E3325A"/>
    <w:rsid w:val="00E33272"/>
    <w:rsid w:val="00E332CF"/>
    <w:rsid w:val="00E33F09"/>
    <w:rsid w:val="00E35B0D"/>
    <w:rsid w:val="00E3679D"/>
    <w:rsid w:val="00E367BA"/>
    <w:rsid w:val="00E36817"/>
    <w:rsid w:val="00E43AF9"/>
    <w:rsid w:val="00E446B5"/>
    <w:rsid w:val="00E46278"/>
    <w:rsid w:val="00E46B60"/>
    <w:rsid w:val="00E476A1"/>
    <w:rsid w:val="00E47FB2"/>
    <w:rsid w:val="00E50690"/>
    <w:rsid w:val="00E507E5"/>
    <w:rsid w:val="00E50CBE"/>
    <w:rsid w:val="00E51656"/>
    <w:rsid w:val="00E52794"/>
    <w:rsid w:val="00E5319D"/>
    <w:rsid w:val="00E53D20"/>
    <w:rsid w:val="00E55CF6"/>
    <w:rsid w:val="00E56458"/>
    <w:rsid w:val="00E568F4"/>
    <w:rsid w:val="00E60E87"/>
    <w:rsid w:val="00E647FC"/>
    <w:rsid w:val="00E65187"/>
    <w:rsid w:val="00E660E4"/>
    <w:rsid w:val="00E718DB"/>
    <w:rsid w:val="00E73095"/>
    <w:rsid w:val="00E7477D"/>
    <w:rsid w:val="00E7635D"/>
    <w:rsid w:val="00E778B2"/>
    <w:rsid w:val="00E77A27"/>
    <w:rsid w:val="00E815C4"/>
    <w:rsid w:val="00E85CE0"/>
    <w:rsid w:val="00E912F6"/>
    <w:rsid w:val="00E91941"/>
    <w:rsid w:val="00E92752"/>
    <w:rsid w:val="00E929E1"/>
    <w:rsid w:val="00E93860"/>
    <w:rsid w:val="00EA1178"/>
    <w:rsid w:val="00EA204F"/>
    <w:rsid w:val="00EA2F50"/>
    <w:rsid w:val="00EA30B9"/>
    <w:rsid w:val="00EA550C"/>
    <w:rsid w:val="00EA5684"/>
    <w:rsid w:val="00EB47C0"/>
    <w:rsid w:val="00EB6ED9"/>
    <w:rsid w:val="00EB6F94"/>
    <w:rsid w:val="00EB7DB1"/>
    <w:rsid w:val="00EC04C3"/>
    <w:rsid w:val="00EC1CF2"/>
    <w:rsid w:val="00EC1D2B"/>
    <w:rsid w:val="00EC2374"/>
    <w:rsid w:val="00EC5FC2"/>
    <w:rsid w:val="00ED0A48"/>
    <w:rsid w:val="00ED498A"/>
    <w:rsid w:val="00ED6795"/>
    <w:rsid w:val="00ED6C63"/>
    <w:rsid w:val="00EE0495"/>
    <w:rsid w:val="00EE093C"/>
    <w:rsid w:val="00EE0957"/>
    <w:rsid w:val="00EE0EE7"/>
    <w:rsid w:val="00EE101A"/>
    <w:rsid w:val="00EE133D"/>
    <w:rsid w:val="00EE181B"/>
    <w:rsid w:val="00EE2428"/>
    <w:rsid w:val="00EE5F1B"/>
    <w:rsid w:val="00EE6C03"/>
    <w:rsid w:val="00EE7A3F"/>
    <w:rsid w:val="00EF3D40"/>
    <w:rsid w:val="00EF4A4E"/>
    <w:rsid w:val="00EF59E7"/>
    <w:rsid w:val="00EF7DE6"/>
    <w:rsid w:val="00F01F02"/>
    <w:rsid w:val="00F023B3"/>
    <w:rsid w:val="00F06F12"/>
    <w:rsid w:val="00F074C3"/>
    <w:rsid w:val="00F11014"/>
    <w:rsid w:val="00F11680"/>
    <w:rsid w:val="00F11B32"/>
    <w:rsid w:val="00F130D3"/>
    <w:rsid w:val="00F136D0"/>
    <w:rsid w:val="00F13B65"/>
    <w:rsid w:val="00F16242"/>
    <w:rsid w:val="00F22A10"/>
    <w:rsid w:val="00F24805"/>
    <w:rsid w:val="00F2560B"/>
    <w:rsid w:val="00F27AAB"/>
    <w:rsid w:val="00F346CD"/>
    <w:rsid w:val="00F42095"/>
    <w:rsid w:val="00F42482"/>
    <w:rsid w:val="00F43C74"/>
    <w:rsid w:val="00F4424C"/>
    <w:rsid w:val="00F44D67"/>
    <w:rsid w:val="00F456B6"/>
    <w:rsid w:val="00F46EBC"/>
    <w:rsid w:val="00F51D5A"/>
    <w:rsid w:val="00F52479"/>
    <w:rsid w:val="00F52912"/>
    <w:rsid w:val="00F569ED"/>
    <w:rsid w:val="00F577D1"/>
    <w:rsid w:val="00F57EFD"/>
    <w:rsid w:val="00F6353D"/>
    <w:rsid w:val="00F637E6"/>
    <w:rsid w:val="00F6586B"/>
    <w:rsid w:val="00F67DCF"/>
    <w:rsid w:val="00F7140E"/>
    <w:rsid w:val="00F714DE"/>
    <w:rsid w:val="00F72018"/>
    <w:rsid w:val="00F72146"/>
    <w:rsid w:val="00F74C64"/>
    <w:rsid w:val="00F76721"/>
    <w:rsid w:val="00F80AC3"/>
    <w:rsid w:val="00F81490"/>
    <w:rsid w:val="00F81E52"/>
    <w:rsid w:val="00F8233A"/>
    <w:rsid w:val="00F83605"/>
    <w:rsid w:val="00F85688"/>
    <w:rsid w:val="00F90DBB"/>
    <w:rsid w:val="00F91231"/>
    <w:rsid w:val="00F93760"/>
    <w:rsid w:val="00F94169"/>
    <w:rsid w:val="00F952ED"/>
    <w:rsid w:val="00F960D3"/>
    <w:rsid w:val="00FA0C58"/>
    <w:rsid w:val="00FA201C"/>
    <w:rsid w:val="00FA41D1"/>
    <w:rsid w:val="00FA53BB"/>
    <w:rsid w:val="00FA649D"/>
    <w:rsid w:val="00FA6614"/>
    <w:rsid w:val="00FA730B"/>
    <w:rsid w:val="00FB37DF"/>
    <w:rsid w:val="00FB4422"/>
    <w:rsid w:val="00FC28C4"/>
    <w:rsid w:val="00FC30C1"/>
    <w:rsid w:val="00FC3EEF"/>
    <w:rsid w:val="00FC43B5"/>
    <w:rsid w:val="00FC7DA6"/>
    <w:rsid w:val="00FD41BC"/>
    <w:rsid w:val="00FD4289"/>
    <w:rsid w:val="00FD4D73"/>
    <w:rsid w:val="00FD6564"/>
    <w:rsid w:val="00FD6693"/>
    <w:rsid w:val="00FE32E5"/>
    <w:rsid w:val="00FE5CB4"/>
    <w:rsid w:val="00FE679B"/>
    <w:rsid w:val="00FF030F"/>
    <w:rsid w:val="00FF0BBB"/>
    <w:rsid w:val="00FF0EEE"/>
    <w:rsid w:val="00FF6474"/>
    <w:rsid w:val="00FF6B99"/>
    <w:rsid w:val="02F3100D"/>
    <w:rsid w:val="27DFB7BE"/>
    <w:rsid w:val="2FBB6E41"/>
    <w:rsid w:val="35C5040B"/>
    <w:rsid w:val="4B78036B"/>
    <w:rsid w:val="59497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AFBC3"/>
  <w15:docId w15:val="{D6A2C7CA-F216-439F-9116-5C5DC18E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 1"/>
    <w:qFormat/>
    <w:pPr>
      <w:spacing w:before="120" w:after="120"/>
    </w:pPr>
    <w:rPr>
      <w:rFonts w:ascii="Arial" w:hAnsi="Arial"/>
      <w:sz w:val="24"/>
    </w:rPr>
  </w:style>
  <w:style w:type="paragraph" w:styleId="Heading1">
    <w:name w:val="heading 1"/>
    <w:basedOn w:val="Normal"/>
    <w:next w:val="Normal"/>
    <w:qFormat/>
    <w:pPr>
      <w:keepNext/>
      <w:spacing w:after="240"/>
      <w:jc w:val="right"/>
      <w:outlineLvl w:val="0"/>
    </w:pPr>
    <w:rPr>
      <w:rFonts w:ascii="Tahoma" w:hAnsi="Tahoma"/>
      <w:b/>
      <w:caps/>
      <w:sz w:val="52"/>
      <w14:shadow w14:blurRad="50800" w14:dist="38100" w14:dir="2700000" w14:sx="100000" w14:sy="100000" w14:kx="0" w14:ky="0" w14:algn="tl">
        <w14:srgbClr w14:val="000000">
          <w14:alpha w14:val="60000"/>
        </w14:srgbClr>
      </w14:shadow>
    </w:rPr>
  </w:style>
  <w:style w:type="paragraph" w:styleId="Heading2">
    <w:name w:val="heading 2"/>
    <w:basedOn w:val="Normal"/>
    <w:next w:val="Normal1"/>
    <w:qFormat/>
    <w:pPr>
      <w:keepNext/>
      <w:shd w:val="pct95" w:color="auto" w:fill="FFFFFF"/>
      <w:spacing w:before="240"/>
      <w:jc w:val="center"/>
      <w:outlineLvl w:val="1"/>
    </w:pPr>
    <w:rPr>
      <w:rFonts w:ascii="Tahoma" w:hAnsi="Tahoma"/>
      <w:b/>
      <w:sz w:val="28"/>
    </w:rPr>
  </w:style>
  <w:style w:type="paragraph" w:styleId="Heading3">
    <w:name w:val="heading 3"/>
    <w:basedOn w:val="Normal"/>
    <w:next w:val="Normal"/>
    <w:qFormat/>
    <w:pPr>
      <w:keepNext/>
      <w:shd w:val="pct30" w:color="auto" w:fill="FFFFFF"/>
      <w:spacing w:after="240"/>
      <w:outlineLvl w:val="2"/>
    </w:pPr>
    <w:rPr>
      <w:rFonts w:ascii="Tahoma" w:hAnsi="Tahoma"/>
      <w:b/>
    </w:rPr>
  </w:style>
  <w:style w:type="paragraph" w:styleId="Heading4">
    <w:name w:val="heading 4"/>
    <w:basedOn w:val="Normal"/>
    <w:next w:val="Normal"/>
    <w:qFormat/>
    <w:pPr>
      <w:keepNext/>
      <w:shd w:val="pct12" w:color="auto" w:fill="FFFFFF"/>
      <w:outlineLvl w:val="3"/>
    </w:pPr>
    <w:rPr>
      <w:rFonts w:ascii="Tahoma" w:hAnsi="Tahoma"/>
      <w:b/>
      <w:i/>
      <w:snapToGrid w:val="0"/>
      <w:color w:val="000000"/>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tabs>
        <w:tab w:val="left" w:pos="-1440"/>
        <w:tab w:val="left" w:pos="-720"/>
      </w:tabs>
      <w:suppressAutoHyphens/>
      <w:spacing w:before="90" w:after="240"/>
      <w:jc w:val="center"/>
      <w:outlineLvl w:val="5"/>
    </w:pPr>
    <w:rPr>
      <w:rFonts w:ascii="Tahoma" w:hAnsi="Tahoma"/>
      <w:b/>
      <w:sz w:val="22"/>
    </w:rPr>
  </w:style>
  <w:style w:type="paragraph" w:styleId="Heading7">
    <w:name w:val="heading 7"/>
    <w:basedOn w:val="Normal"/>
    <w:next w:val="Normal"/>
    <w:qFormat/>
    <w:pPr>
      <w:keepNext/>
      <w:tabs>
        <w:tab w:val="center" w:pos="2229"/>
      </w:tabs>
      <w:suppressAutoHyphens/>
      <w:spacing w:before="90" w:after="54"/>
      <w:outlineLvl w:val="6"/>
    </w:pPr>
    <w:rPr>
      <w:rFonts w:ascii="Tahoma" w:hAnsi="Tahoma"/>
      <w:b/>
    </w:rPr>
  </w:style>
  <w:style w:type="paragraph" w:styleId="Heading8">
    <w:name w:val="heading 8"/>
    <w:basedOn w:val="Normal"/>
    <w:next w:val="Normal"/>
    <w:qFormat/>
    <w:pPr>
      <w:keepNext/>
      <w:tabs>
        <w:tab w:val="center" w:pos="2220"/>
      </w:tabs>
      <w:suppressAutoHyphens/>
      <w:spacing w:before="480" w:after="3120"/>
      <w:jc w:val="center"/>
      <w:outlineLvl w:val="7"/>
    </w:pPr>
    <w:rPr>
      <w:rFonts w:ascii="Tahoma" w:hAnsi="Tahoma"/>
      <w:b/>
    </w:rPr>
  </w:style>
  <w:style w:type="paragraph" w:styleId="Heading9">
    <w:name w:val="heading 9"/>
    <w:basedOn w:val="Normal"/>
    <w:next w:val="Normal"/>
    <w:qFormat/>
    <w:pPr>
      <w:keepNext/>
      <w:tabs>
        <w:tab w:val="left" w:pos="-1440"/>
        <w:tab w:val="left" w:pos="-720"/>
      </w:tabs>
      <w:suppressAutoHyphens/>
      <w:spacing w:before="0" w:after="240"/>
      <w:outlineLvl w:val="8"/>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A6828"/>
    <w:pPr>
      <w:jc w:val="both"/>
    </w:pPr>
    <w:rPr>
      <w:rFonts w:ascii="Tahoma" w:hAnsi="Tahoma"/>
    </w:rPr>
  </w:style>
  <w:style w:type="paragraph" w:customStyle="1" w:styleId="Bullet2">
    <w:name w:val="Bullet 2"/>
    <w:basedOn w:val="Normal"/>
    <w:rsid w:val="00132ED1"/>
    <w:pPr>
      <w:numPr>
        <w:numId w:val="10"/>
      </w:numPr>
      <w:tabs>
        <w:tab w:val="left" w:pos="1080"/>
      </w:tabs>
      <w:spacing w:before="60" w:after="60"/>
      <w:jc w:val="both"/>
    </w:pPr>
    <w:rPr>
      <w:rFonts w:ascii="Tahoma" w:hAnsi="Tahoma"/>
    </w:rPr>
  </w:style>
  <w:style w:type="paragraph" w:customStyle="1" w:styleId="Bullet10">
    <w:name w:val="Bullet 1"/>
    <w:basedOn w:val="Normal"/>
    <w:rsid w:val="00132ED1"/>
    <w:pPr>
      <w:numPr>
        <w:numId w:val="8"/>
      </w:numPr>
      <w:spacing w:before="60"/>
      <w:jc w:val="both"/>
    </w:pPr>
    <w:rPr>
      <w:rFonts w:ascii="Tahoma" w:hAnsi="Tahoma"/>
    </w:rPr>
  </w:style>
  <w:style w:type="paragraph" w:customStyle="1" w:styleId="NumberedList">
    <w:name w:val="Numbered List"/>
    <w:basedOn w:val="Normal"/>
    <w:pPr>
      <w:numPr>
        <w:numId w:val="1"/>
      </w:numPr>
      <w:tabs>
        <w:tab w:val="left" w:pos="1890"/>
        <w:tab w:val="left" w:pos="2160"/>
        <w:tab w:val="left" w:pos="2520"/>
        <w:tab w:val="left" w:pos="2880"/>
        <w:tab w:val="left" w:pos="3600"/>
        <w:tab w:val="left" w:pos="4320"/>
        <w:tab w:val="left" w:pos="5040"/>
        <w:tab w:val="left" w:pos="5760"/>
        <w:tab w:val="left" w:pos="6480"/>
        <w:tab w:val="left" w:pos="7200"/>
        <w:tab w:val="left" w:pos="7920"/>
        <w:tab w:val="left" w:pos="8640"/>
        <w:tab w:val="left" w:pos="9000"/>
      </w:tabs>
      <w:overflowPunct w:val="0"/>
      <w:autoSpaceDE w:val="0"/>
      <w:autoSpaceDN w:val="0"/>
      <w:adjustRightInd w:val="0"/>
      <w:spacing w:before="0"/>
      <w:textAlignment w:val="baseline"/>
    </w:pPr>
    <w:rPr>
      <w:rFonts w:ascii="Tahoma" w:hAnsi="Tahoma"/>
      <w:color w:val="000000"/>
    </w:rPr>
  </w:style>
  <w:style w:type="paragraph" w:customStyle="1" w:styleId="numbersection">
    <w:name w:val="number/section"/>
    <w:basedOn w:val="NumberedList"/>
    <w:pPr>
      <w:ind w:left="1620"/>
    </w:pPr>
  </w:style>
  <w:style w:type="paragraph" w:customStyle="1" w:styleId="undernumbr">
    <w:name w:val="under/numbr"/>
    <w:basedOn w:val="Normal"/>
    <w:pPr>
      <w:tabs>
        <w:tab w:val="left" w:pos="9000"/>
      </w:tabs>
      <w:overflowPunct w:val="0"/>
      <w:autoSpaceDE w:val="0"/>
      <w:autoSpaceDN w:val="0"/>
      <w:adjustRightInd w:val="0"/>
      <w:spacing w:before="0" w:after="0"/>
      <w:ind w:left="1620" w:hanging="360"/>
      <w:jc w:val="both"/>
      <w:textAlignment w:val="baseline"/>
    </w:pPr>
    <w:rPr>
      <w:rFonts w:ascii="Times New Roman" w:hAnsi="Times New Roman"/>
      <w:color w:val="000000"/>
    </w:rPr>
  </w:style>
  <w:style w:type="paragraph" w:customStyle="1" w:styleId="number">
    <w:name w:val="number()"/>
    <w:basedOn w:val="Normal"/>
    <w:pPr>
      <w:tabs>
        <w:tab w:val="left" w:pos="9000"/>
      </w:tabs>
      <w:overflowPunct w:val="0"/>
      <w:autoSpaceDE w:val="0"/>
      <w:autoSpaceDN w:val="0"/>
      <w:adjustRightInd w:val="0"/>
      <w:spacing w:before="0" w:after="0"/>
      <w:ind w:left="2160" w:hanging="540"/>
      <w:textAlignment w:val="baseline"/>
    </w:pPr>
    <w:rPr>
      <w:rFonts w:ascii="Times New Roman" w:hAnsi="Times New Roman"/>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Tahoma" w:hAnsi="Tahoma"/>
      <w:b/>
      <w:sz w:val="22"/>
    </w:rPr>
  </w:style>
  <w:style w:type="character" w:styleId="PageNumber">
    <w:name w:val="page number"/>
    <w:basedOn w:val="DefaultParagraphFont"/>
  </w:style>
  <w:style w:type="paragraph" w:customStyle="1" w:styleId="chapterno">
    <w:name w:val="chapter no."/>
    <w:basedOn w:val="Normal"/>
    <w:rPr>
      <w:rFonts w:ascii="Tahoma" w:hAnsi="Tahoma"/>
      <w:b/>
      <w:sz w:val="72"/>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Alphsection">
    <w:name w:val="Alph/section"/>
    <w:basedOn w:val="Normal"/>
    <w:pPr>
      <w:tabs>
        <w:tab w:val="left" w:pos="1890"/>
        <w:tab w:val="left" w:pos="2160"/>
        <w:tab w:val="left" w:pos="2520"/>
        <w:tab w:val="left" w:pos="2880"/>
        <w:tab w:val="left" w:pos="3600"/>
        <w:tab w:val="left" w:pos="4320"/>
        <w:tab w:val="left" w:pos="5040"/>
        <w:tab w:val="left" w:pos="5760"/>
        <w:tab w:val="left" w:pos="6480"/>
        <w:tab w:val="left" w:pos="7200"/>
        <w:tab w:val="left" w:pos="7920"/>
        <w:tab w:val="left" w:pos="8640"/>
        <w:tab w:val="left" w:pos="9000"/>
      </w:tabs>
      <w:overflowPunct w:val="0"/>
      <w:autoSpaceDE w:val="0"/>
      <w:autoSpaceDN w:val="0"/>
      <w:adjustRightInd w:val="0"/>
      <w:spacing w:before="0" w:after="0"/>
      <w:ind w:left="1260" w:hanging="360"/>
      <w:jc w:val="both"/>
      <w:textAlignment w:val="baseline"/>
    </w:pPr>
    <w:rPr>
      <w:rFonts w:ascii="Times New Roman" w:hAnsi="Times New Roman"/>
      <w:color w:val="000000"/>
    </w:rPr>
  </w:style>
  <w:style w:type="paragraph" w:customStyle="1" w:styleId="chapheadingpage2on">
    <w:name w:val="chap heading page 2 on"/>
    <w:basedOn w:val="Heading1"/>
    <w:pPr>
      <w:pBdr>
        <w:bottom w:val="single" w:sz="4" w:space="1" w:color="auto"/>
      </w:pBdr>
    </w:pPr>
    <w:rPr>
      <w:sz w:val="36"/>
    </w:rPr>
  </w:style>
  <w:style w:type="paragraph" w:customStyle="1" w:styleId="Bullet3">
    <w:name w:val="Bullet 3"/>
    <w:next w:val="Normal1"/>
    <w:rsid w:val="002B6E83"/>
    <w:pPr>
      <w:spacing w:before="60" w:after="60"/>
      <w:jc w:val="both"/>
    </w:pPr>
    <w:rPr>
      <w:rFonts w:ascii="Tahoma" w:hAnsi="Tahoma"/>
      <w:noProof/>
      <w:sz w:val="24"/>
    </w:rPr>
  </w:style>
  <w:style w:type="paragraph" w:customStyle="1" w:styleId="undernumbersmallalpha">
    <w:name w:val="undernumber/smallalpha"/>
    <w:basedOn w:val="Normal"/>
    <w:pPr>
      <w:tabs>
        <w:tab w:val="left" w:pos="2880"/>
      </w:tabs>
      <w:overflowPunct w:val="0"/>
      <w:autoSpaceDE w:val="0"/>
      <w:autoSpaceDN w:val="0"/>
      <w:adjustRightInd w:val="0"/>
      <w:spacing w:after="0"/>
      <w:ind w:left="2160" w:hanging="360"/>
      <w:jc w:val="both"/>
      <w:textAlignment w:val="baseline"/>
    </w:pPr>
    <w:rPr>
      <w:rFonts w:ascii="Times New Roman" w:hAnsi="Times New Roman"/>
      <w:color w:val="000000"/>
    </w:rPr>
  </w:style>
  <w:style w:type="paragraph" w:customStyle="1" w:styleId="underalpha">
    <w:name w:val="under/alpha"/>
    <w:basedOn w:val="Normal"/>
    <w:pPr>
      <w:tabs>
        <w:tab w:val="left" w:pos="1980"/>
        <w:tab w:val="left" w:pos="2160"/>
        <w:tab w:val="left" w:pos="2880"/>
        <w:tab w:val="left" w:pos="3600"/>
        <w:tab w:val="left" w:pos="4320"/>
        <w:tab w:val="left" w:pos="5040"/>
        <w:tab w:val="left" w:pos="5760"/>
        <w:tab w:val="left" w:pos="6480"/>
        <w:tab w:val="left" w:pos="7200"/>
        <w:tab w:val="left" w:pos="7920"/>
        <w:tab w:val="left" w:pos="8640"/>
        <w:tab w:val="left" w:pos="9000"/>
      </w:tabs>
      <w:overflowPunct w:val="0"/>
      <w:autoSpaceDE w:val="0"/>
      <w:autoSpaceDN w:val="0"/>
      <w:adjustRightInd w:val="0"/>
      <w:spacing w:before="0" w:after="0"/>
      <w:ind w:left="1260"/>
      <w:jc w:val="both"/>
      <w:textAlignment w:val="baseline"/>
    </w:pPr>
    <w:rPr>
      <w:rFonts w:ascii="Times New Roman" w:hAnsi="Times New Roman"/>
      <w:color w:val="000000"/>
    </w:rPr>
  </w:style>
  <w:style w:type="paragraph" w:customStyle="1" w:styleId="bulletsparg">
    <w:name w:val="bullets/parg"/>
    <w:basedOn w:val="Normal"/>
    <w:pPr>
      <w:tabs>
        <w:tab w:val="left" w:pos="9000"/>
      </w:tabs>
      <w:overflowPunct w:val="0"/>
      <w:autoSpaceDE w:val="0"/>
      <w:autoSpaceDN w:val="0"/>
      <w:adjustRightInd w:val="0"/>
      <w:spacing w:before="0" w:after="0"/>
      <w:ind w:left="2160" w:hanging="360"/>
      <w:textAlignment w:val="baseline"/>
    </w:pPr>
    <w:rPr>
      <w:rFonts w:ascii="Times New Roman" w:hAnsi="Times New Roman"/>
      <w:color w:val="000000"/>
    </w:rPr>
  </w:style>
  <w:style w:type="paragraph" w:customStyle="1" w:styleId="heading20">
    <w:name w:val="heading 20"/>
    <w:basedOn w:val="Normal"/>
  </w:style>
  <w:style w:type="paragraph" w:customStyle="1" w:styleId="numberunderalpha">
    <w:name w:val="numberunderalpha"/>
    <w:basedOn w:val="numbersection"/>
    <w:pPr>
      <w:spacing w:after="0"/>
      <w:ind w:left="2520"/>
      <w:jc w:val="both"/>
    </w:pPr>
    <w:rPr>
      <w:rFonts w:ascii="Times New Roman" w:hAnsi="Times New Roman"/>
    </w:rPr>
  </w:style>
  <w:style w:type="paragraph" w:styleId="BodyText">
    <w:name w:val="Body Text"/>
    <w:basedOn w:val="Normal"/>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9000"/>
        <w:tab w:val="left" w:pos="9360"/>
      </w:tabs>
      <w:spacing w:before="0" w:after="0"/>
      <w:jc w:val="center"/>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ullet">
    <w:name w:val="bullet"/>
    <w:basedOn w:val="Heading2"/>
    <w:pPr>
      <w:keepNext w:val="0"/>
      <w:numPr>
        <w:numId w:val="2"/>
      </w:numPr>
      <w:shd w:val="clear" w:color="auto" w:fill="auto"/>
      <w:spacing w:before="0" w:after="240"/>
      <w:jc w:val="left"/>
    </w:pPr>
    <w:rPr>
      <w:b w:val="0"/>
      <w:sz w:val="22"/>
    </w:rPr>
  </w:style>
  <w:style w:type="paragraph" w:customStyle="1" w:styleId="bullet20">
    <w:name w:val="bullet2"/>
    <w:basedOn w:val="Normal"/>
    <w:pPr>
      <w:numPr>
        <w:numId w:val="4"/>
      </w:numPr>
      <w:spacing w:before="0" w:after="240"/>
    </w:pPr>
    <w:rPr>
      <w:rFonts w:ascii="Tahoma" w:hAnsi="Tahoma"/>
      <w:sz w:val="22"/>
    </w:rPr>
  </w:style>
  <w:style w:type="paragraph" w:customStyle="1" w:styleId="HEADER2">
    <w:name w:val="HEADER2"/>
    <w:basedOn w:val="Heading3"/>
    <w:pPr>
      <w:shd w:val="clear" w:color="auto" w:fill="auto"/>
      <w:spacing w:before="0"/>
    </w:pPr>
    <w:rPr>
      <w:caps/>
    </w:rPr>
  </w:style>
  <w:style w:type="paragraph" w:customStyle="1" w:styleId="HEADER1">
    <w:name w:val="HEADER1"/>
    <w:basedOn w:val="Heading1"/>
    <w:pPr>
      <w:spacing w:before="0" w:after="480"/>
      <w:jc w:val="center"/>
    </w:pPr>
    <w:rPr>
      <w:sz w:val="40"/>
      <w14:shadow w14:blurRad="0" w14:dist="0" w14:dir="0" w14:sx="0" w14:sy="0" w14:kx="0" w14:ky="0" w14:algn="none">
        <w14:srgbClr w14:val="000000"/>
      </w14:shadow>
    </w:rPr>
  </w:style>
  <w:style w:type="paragraph" w:customStyle="1" w:styleId="header3">
    <w:name w:val="header3"/>
    <w:basedOn w:val="Heading1"/>
    <w:pPr>
      <w:spacing w:before="240" w:after="480"/>
      <w:jc w:val="center"/>
    </w:pPr>
    <w:rPr>
      <w:sz w:val="40"/>
      <w14:shadow w14:blurRad="0" w14:dist="0" w14:dir="0" w14:sx="0" w14:sy="0" w14:kx="0" w14:ky="0" w14:algn="none">
        <w14:srgbClr w14:val="000000"/>
      </w14:shadow>
    </w:rPr>
  </w:style>
  <w:style w:type="paragraph" w:customStyle="1" w:styleId="header4">
    <w:name w:val="header4"/>
    <w:basedOn w:val="Normal"/>
    <w:pPr>
      <w:spacing w:before="240" w:after="240"/>
    </w:pPr>
    <w:rPr>
      <w:rFonts w:ascii="Tahoma" w:hAnsi="Tahoma"/>
      <w:b/>
      <w:u w:val="single"/>
    </w:rPr>
  </w:style>
  <w:style w:type="paragraph" w:styleId="BodyTextIndent">
    <w:name w:val="Body Text Indent"/>
    <w:basedOn w:val="Normal"/>
    <w:pPr>
      <w:spacing w:before="0" w:after="240"/>
      <w:ind w:left="360"/>
    </w:pPr>
    <w:rPr>
      <w:rFonts w:ascii="Tahoma" w:hAnsi="Tahoma"/>
      <w:sz w:val="22"/>
    </w:rPr>
  </w:style>
  <w:style w:type="paragraph" w:customStyle="1" w:styleId="bullet30">
    <w:name w:val="bullet3"/>
    <w:basedOn w:val="Normal"/>
    <w:pPr>
      <w:tabs>
        <w:tab w:val="left" w:pos="-1440"/>
        <w:tab w:val="left" w:pos="-720"/>
        <w:tab w:val="left" w:pos="0"/>
        <w:tab w:val="left" w:pos="720"/>
      </w:tabs>
      <w:suppressAutoHyphens/>
      <w:spacing w:before="0" w:after="240"/>
    </w:pPr>
    <w:rPr>
      <w:rFonts w:ascii="Tahoma" w:hAnsi="Tahoma"/>
      <w:sz w:val="22"/>
    </w:rPr>
  </w:style>
  <w:style w:type="paragraph" w:styleId="BodyTextIndent2">
    <w:name w:val="Body Text Indent 2"/>
    <w:basedOn w:val="Normal"/>
    <w:pPr>
      <w:suppressAutoHyphens/>
      <w:spacing w:before="0" w:after="240"/>
      <w:ind w:left="6624" w:hanging="6624"/>
    </w:pPr>
    <w:rPr>
      <w:rFonts w:ascii="Tahoma" w:hAnsi="Tahoma"/>
      <w:sz w:val="22"/>
    </w:rPr>
  </w:style>
  <w:style w:type="paragraph" w:styleId="EndnoteText">
    <w:name w:val="endnote text"/>
    <w:basedOn w:val="Normal"/>
    <w:semiHidden/>
    <w:pPr>
      <w:widowControl w:val="0"/>
      <w:spacing w:before="0" w:after="240"/>
    </w:pPr>
    <w:rPr>
      <w:rFonts w:ascii="Courier" w:hAnsi="Courier"/>
    </w:rPr>
  </w:style>
  <w:style w:type="character" w:styleId="EndnoteReference">
    <w:name w:val="end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rPr>
  </w:style>
  <w:style w:type="character" w:customStyle="1" w:styleId="DocInit">
    <w:name w:val="Doc Init"/>
    <w:basedOn w:val="DefaultParagraphFont"/>
  </w:style>
  <w:style w:type="character" w:customStyle="1" w:styleId="TechInit">
    <w:name w:val="Tech Init"/>
    <w:rPr>
      <w:rFonts w:ascii="Courier" w:hAnsi="Courier"/>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0"/>
      <w:lang w:val="en-US"/>
    </w:rPr>
  </w:style>
  <w:style w:type="character" w:customStyle="1" w:styleId="Technical3">
    <w:name w:val="Technical 3"/>
    <w:rPr>
      <w:rFonts w:ascii="Courier" w:hAnsi="Courier"/>
      <w:noProof w:val="0"/>
      <w:sz w:val="20"/>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anging">
    <w:name w:val="Hanging"/>
    <w:basedOn w:val="DefaultParagraphFont"/>
  </w:style>
  <w:style w:type="character" w:customStyle="1" w:styleId="test">
    <w:name w:val="test"/>
    <w:rPr>
      <w:rFonts w:ascii="Courier" w:hAnsi="Courier"/>
      <w:noProof w:val="0"/>
      <w:sz w:val="20"/>
      <w:lang w:val="en-US"/>
    </w:rPr>
  </w:style>
  <w:style w:type="character" w:customStyle="1" w:styleId="Columns">
    <w:name w:val="Columns"/>
    <w:rPr>
      <w:rFonts w:ascii="Courier" w:hAnsi="Courier"/>
      <w:noProof w:val="0"/>
      <w:sz w:val="20"/>
      <w:lang w:val="en-US"/>
    </w:rPr>
  </w:style>
  <w:style w:type="paragraph" w:styleId="TOC1">
    <w:name w:val="toc 1"/>
    <w:basedOn w:val="Normal"/>
    <w:next w:val="Normal"/>
    <w:autoRedefine/>
    <w:semiHidden/>
    <w:pPr>
      <w:widowControl w:val="0"/>
      <w:tabs>
        <w:tab w:val="right" w:leader="dot" w:pos="9360"/>
      </w:tabs>
      <w:suppressAutoHyphens/>
      <w:spacing w:before="480" w:after="240"/>
      <w:ind w:left="720" w:right="720" w:hanging="720"/>
    </w:pPr>
    <w:rPr>
      <w:rFonts w:ascii="Courier" w:hAnsi="Courier"/>
      <w:sz w:val="20"/>
    </w:rPr>
  </w:style>
  <w:style w:type="paragraph" w:styleId="TOC2">
    <w:name w:val="toc 2"/>
    <w:basedOn w:val="Normal"/>
    <w:next w:val="Normal"/>
    <w:autoRedefine/>
    <w:semiHidden/>
    <w:pPr>
      <w:widowControl w:val="0"/>
      <w:tabs>
        <w:tab w:val="right" w:leader="dot" w:pos="9360"/>
      </w:tabs>
      <w:suppressAutoHyphens/>
      <w:spacing w:before="0" w:after="240"/>
      <w:ind w:left="1440" w:right="720" w:hanging="720"/>
    </w:pPr>
    <w:rPr>
      <w:rFonts w:ascii="Courier" w:hAnsi="Courier"/>
      <w:sz w:val="20"/>
    </w:rPr>
  </w:style>
  <w:style w:type="paragraph" w:styleId="TOC3">
    <w:name w:val="toc 3"/>
    <w:basedOn w:val="Normal"/>
    <w:next w:val="Normal"/>
    <w:autoRedefine/>
    <w:semiHidden/>
    <w:pPr>
      <w:widowControl w:val="0"/>
      <w:tabs>
        <w:tab w:val="right" w:leader="dot" w:pos="9360"/>
      </w:tabs>
      <w:suppressAutoHyphens/>
      <w:spacing w:before="0" w:after="240"/>
      <w:ind w:left="2160" w:right="720" w:hanging="720"/>
    </w:pPr>
    <w:rPr>
      <w:rFonts w:ascii="Courier" w:hAnsi="Courier"/>
      <w:sz w:val="20"/>
    </w:rPr>
  </w:style>
  <w:style w:type="paragraph" w:styleId="TOC4">
    <w:name w:val="toc 4"/>
    <w:basedOn w:val="Normal"/>
    <w:next w:val="Normal"/>
    <w:autoRedefine/>
    <w:semiHidden/>
    <w:pPr>
      <w:widowControl w:val="0"/>
      <w:tabs>
        <w:tab w:val="right" w:leader="dot" w:pos="9360"/>
      </w:tabs>
      <w:suppressAutoHyphens/>
      <w:spacing w:before="0" w:after="240"/>
      <w:ind w:left="2880" w:right="720" w:hanging="720"/>
    </w:pPr>
    <w:rPr>
      <w:rFonts w:ascii="Courier" w:hAnsi="Courier"/>
      <w:sz w:val="20"/>
    </w:rPr>
  </w:style>
  <w:style w:type="paragraph" w:styleId="TOC5">
    <w:name w:val="toc 5"/>
    <w:basedOn w:val="Normal"/>
    <w:next w:val="Normal"/>
    <w:autoRedefine/>
    <w:semiHidden/>
    <w:pPr>
      <w:widowControl w:val="0"/>
      <w:tabs>
        <w:tab w:val="right" w:leader="dot" w:pos="9360"/>
      </w:tabs>
      <w:suppressAutoHyphens/>
      <w:spacing w:before="0" w:after="240"/>
      <w:ind w:left="3600" w:right="720" w:hanging="720"/>
    </w:pPr>
    <w:rPr>
      <w:rFonts w:ascii="Courier" w:hAnsi="Courier"/>
      <w:sz w:val="20"/>
    </w:rPr>
  </w:style>
  <w:style w:type="paragraph" w:styleId="TOC6">
    <w:name w:val="toc 6"/>
    <w:basedOn w:val="Normal"/>
    <w:next w:val="Normal"/>
    <w:autoRedefine/>
    <w:semiHidden/>
    <w:pPr>
      <w:widowControl w:val="0"/>
      <w:tabs>
        <w:tab w:val="right" w:pos="9360"/>
      </w:tabs>
      <w:suppressAutoHyphens/>
      <w:spacing w:before="0" w:after="240"/>
      <w:ind w:left="720" w:hanging="720"/>
    </w:pPr>
    <w:rPr>
      <w:rFonts w:ascii="Courier" w:hAnsi="Courier"/>
      <w:sz w:val="20"/>
    </w:rPr>
  </w:style>
  <w:style w:type="paragraph" w:styleId="TOC7">
    <w:name w:val="toc 7"/>
    <w:basedOn w:val="Normal"/>
    <w:next w:val="Normal"/>
    <w:autoRedefine/>
    <w:semiHidden/>
    <w:pPr>
      <w:widowControl w:val="0"/>
      <w:suppressAutoHyphens/>
      <w:spacing w:before="0" w:after="240"/>
      <w:ind w:left="720" w:hanging="720"/>
    </w:pPr>
    <w:rPr>
      <w:rFonts w:ascii="Courier" w:hAnsi="Courier"/>
      <w:sz w:val="20"/>
    </w:rPr>
  </w:style>
  <w:style w:type="paragraph" w:styleId="TOC8">
    <w:name w:val="toc 8"/>
    <w:basedOn w:val="Normal"/>
    <w:next w:val="Normal"/>
    <w:autoRedefine/>
    <w:semiHidden/>
    <w:pPr>
      <w:widowControl w:val="0"/>
      <w:tabs>
        <w:tab w:val="right" w:pos="9360"/>
      </w:tabs>
      <w:suppressAutoHyphens/>
      <w:spacing w:before="0" w:after="240"/>
      <w:ind w:left="720" w:hanging="720"/>
    </w:pPr>
    <w:rPr>
      <w:rFonts w:ascii="Courier" w:hAnsi="Courier"/>
      <w:sz w:val="20"/>
    </w:rPr>
  </w:style>
  <w:style w:type="paragraph" w:styleId="TOC9">
    <w:name w:val="toc 9"/>
    <w:basedOn w:val="Normal"/>
    <w:next w:val="Normal"/>
    <w:autoRedefine/>
    <w:semiHidden/>
    <w:pPr>
      <w:widowControl w:val="0"/>
      <w:tabs>
        <w:tab w:val="right" w:leader="dot" w:pos="9360"/>
      </w:tabs>
      <w:suppressAutoHyphens/>
      <w:spacing w:before="0" w:after="240"/>
      <w:ind w:left="720" w:hanging="720"/>
    </w:pPr>
    <w:rPr>
      <w:rFonts w:ascii="Courier" w:hAnsi="Courier"/>
      <w:sz w:val="20"/>
    </w:rPr>
  </w:style>
  <w:style w:type="paragraph" w:styleId="Index1">
    <w:name w:val="index 1"/>
    <w:basedOn w:val="Normal"/>
    <w:next w:val="Normal"/>
    <w:autoRedefine/>
    <w:semiHidden/>
    <w:pPr>
      <w:widowControl w:val="0"/>
      <w:tabs>
        <w:tab w:val="right" w:leader="dot" w:pos="9360"/>
      </w:tabs>
      <w:suppressAutoHyphens/>
      <w:spacing w:before="0" w:after="240"/>
      <w:ind w:left="1440" w:right="720" w:hanging="1440"/>
    </w:pPr>
    <w:rPr>
      <w:rFonts w:ascii="Courier" w:hAnsi="Courier"/>
      <w:sz w:val="20"/>
    </w:rPr>
  </w:style>
  <w:style w:type="paragraph" w:styleId="Index2">
    <w:name w:val="index 2"/>
    <w:basedOn w:val="Normal"/>
    <w:next w:val="Normal"/>
    <w:autoRedefine/>
    <w:semiHidden/>
    <w:pPr>
      <w:widowControl w:val="0"/>
      <w:tabs>
        <w:tab w:val="right" w:leader="dot" w:pos="9360"/>
      </w:tabs>
      <w:suppressAutoHyphens/>
      <w:spacing w:before="0" w:after="240"/>
      <w:ind w:left="1440" w:right="720" w:hanging="720"/>
    </w:pPr>
    <w:rPr>
      <w:rFonts w:ascii="Courier" w:hAnsi="Courier"/>
      <w:sz w:val="20"/>
    </w:rPr>
  </w:style>
  <w:style w:type="paragraph" w:styleId="TOAHeading">
    <w:name w:val="toa heading"/>
    <w:basedOn w:val="Normal"/>
    <w:next w:val="Normal"/>
    <w:semiHidden/>
    <w:pPr>
      <w:widowControl w:val="0"/>
      <w:tabs>
        <w:tab w:val="right" w:pos="9360"/>
      </w:tabs>
      <w:suppressAutoHyphens/>
      <w:spacing w:before="0" w:after="240"/>
    </w:pPr>
    <w:rPr>
      <w:rFonts w:ascii="Courier" w:hAnsi="Courier"/>
      <w:sz w:val="20"/>
    </w:rPr>
  </w:style>
  <w:style w:type="paragraph" w:styleId="Caption">
    <w:name w:val="caption"/>
    <w:basedOn w:val="Normal"/>
    <w:next w:val="Normal"/>
    <w:qFormat/>
    <w:pPr>
      <w:widowControl w:val="0"/>
      <w:spacing w:before="0" w:after="240"/>
    </w:pPr>
    <w:rPr>
      <w:rFonts w:ascii="Courier" w:hAnsi="Courier"/>
    </w:rPr>
  </w:style>
  <w:style w:type="character" w:customStyle="1" w:styleId="EquationCaption">
    <w:name w:val="_Equation Caption"/>
  </w:style>
  <w:style w:type="paragraph" w:styleId="BodyTextIndent3">
    <w:name w:val="Body Text Indent 3"/>
    <w:basedOn w:val="Normal"/>
    <w:pPr>
      <w:tabs>
        <w:tab w:val="left" w:pos="-1440"/>
        <w:tab w:val="left" w:pos="-720"/>
        <w:tab w:val="left" w:pos="0"/>
        <w:tab w:val="left" w:pos="1500"/>
      </w:tabs>
      <w:suppressAutoHyphens/>
      <w:spacing w:before="0" w:after="240"/>
      <w:ind w:left="690" w:hanging="360"/>
    </w:pPr>
    <w:rPr>
      <w:rFonts w:ascii="Tahoma" w:hAnsi="Tahoma"/>
      <w:sz w:val="22"/>
    </w:rPr>
  </w:style>
  <w:style w:type="paragraph" w:customStyle="1" w:styleId="Quick1">
    <w:name w:val="Quick 1."/>
    <w:basedOn w:val="Normal"/>
    <w:pPr>
      <w:widowControl w:val="0"/>
      <w:numPr>
        <w:numId w:val="5"/>
      </w:numPr>
      <w:spacing w:before="0" w:after="0"/>
      <w:ind w:left="1080" w:hanging="720"/>
    </w:pPr>
    <w:rPr>
      <w:snapToGrid w:val="0"/>
    </w:rPr>
  </w:style>
  <w:style w:type="paragraph" w:styleId="BalloonText">
    <w:name w:val="Balloon Text"/>
    <w:basedOn w:val="Normal"/>
    <w:semiHidden/>
    <w:rPr>
      <w:rFonts w:ascii="Tahoma" w:hAnsi="Tahoma" w:cs="Tahoma"/>
      <w:sz w:val="16"/>
      <w:szCs w:val="16"/>
    </w:rPr>
  </w:style>
  <w:style w:type="paragraph" w:customStyle="1" w:styleId="bullet1">
    <w:name w:val="bullet 1"/>
    <w:basedOn w:val="Normal"/>
    <w:pPr>
      <w:numPr>
        <w:numId w:val="7"/>
      </w:numPr>
      <w:spacing w:before="0" w:after="240"/>
    </w:pPr>
    <w:rPr>
      <w:sz w:val="22"/>
    </w:rPr>
  </w:style>
  <w:style w:type="paragraph" w:customStyle="1" w:styleId="StyleBullet2Justified">
    <w:name w:val="Style Bullet 2 + Justified"/>
    <w:basedOn w:val="Bullet2"/>
    <w:rsid w:val="00240B19"/>
    <w:pPr>
      <w:numPr>
        <w:numId w:val="0"/>
      </w:numPr>
      <w:ind w:left="360" w:hanging="360"/>
    </w:pPr>
  </w:style>
  <w:style w:type="character" w:styleId="Strong">
    <w:name w:val="Strong"/>
    <w:uiPriority w:val="22"/>
    <w:qFormat/>
    <w:rsid w:val="00D85D4B"/>
    <w:rPr>
      <w:b/>
      <w:bCs/>
    </w:rPr>
  </w:style>
  <w:style w:type="paragraph" w:customStyle="1" w:styleId="Default">
    <w:name w:val="Default"/>
    <w:rsid w:val="00FD4D73"/>
    <w:pPr>
      <w:autoSpaceDE w:val="0"/>
      <w:autoSpaceDN w:val="0"/>
      <w:adjustRightInd w:val="0"/>
    </w:pPr>
    <w:rPr>
      <w:color w:val="000000"/>
      <w:sz w:val="24"/>
      <w:szCs w:val="24"/>
    </w:rPr>
  </w:style>
  <w:style w:type="paragraph" w:customStyle="1" w:styleId="bullet4">
    <w:name w:val="bullet4"/>
    <w:basedOn w:val="Bullet3"/>
    <w:qFormat/>
    <w:rsid w:val="0049636E"/>
    <w:pPr>
      <w:numPr>
        <w:ilvl w:val="2"/>
        <w:numId w:val="9"/>
      </w:numPr>
    </w:pPr>
  </w:style>
  <w:style w:type="character" w:styleId="CommentReference">
    <w:name w:val="annotation reference"/>
    <w:rsid w:val="009C3679"/>
    <w:rPr>
      <w:sz w:val="16"/>
      <w:szCs w:val="16"/>
    </w:rPr>
  </w:style>
  <w:style w:type="paragraph" w:styleId="CommentText">
    <w:name w:val="annotation text"/>
    <w:basedOn w:val="Normal"/>
    <w:link w:val="CommentTextChar"/>
    <w:rsid w:val="009C3679"/>
    <w:rPr>
      <w:sz w:val="20"/>
    </w:rPr>
  </w:style>
  <w:style w:type="character" w:customStyle="1" w:styleId="CommentTextChar">
    <w:name w:val="Comment Text Char"/>
    <w:link w:val="CommentText"/>
    <w:rsid w:val="009C3679"/>
    <w:rPr>
      <w:rFonts w:ascii="Arial" w:hAnsi="Arial"/>
    </w:rPr>
  </w:style>
  <w:style w:type="paragraph" w:styleId="CommentSubject">
    <w:name w:val="annotation subject"/>
    <w:basedOn w:val="CommentText"/>
    <w:next w:val="CommentText"/>
    <w:link w:val="CommentSubjectChar"/>
    <w:rsid w:val="009C3679"/>
    <w:rPr>
      <w:b/>
      <w:bCs/>
    </w:rPr>
  </w:style>
  <w:style w:type="character" w:customStyle="1" w:styleId="CommentSubjectChar">
    <w:name w:val="Comment Subject Char"/>
    <w:link w:val="CommentSubject"/>
    <w:rsid w:val="009C3679"/>
    <w:rPr>
      <w:rFonts w:ascii="Arial" w:hAnsi="Arial"/>
      <w:b/>
      <w:bCs/>
    </w:rPr>
  </w:style>
  <w:style w:type="paragraph" w:customStyle="1" w:styleId="webRef">
    <w:name w:val="webRef"/>
    <w:basedOn w:val="Normal"/>
    <w:qFormat/>
    <w:rsid w:val="009A4422"/>
    <w:pPr>
      <w:spacing w:before="0" w:after="180"/>
      <w:jc w:val="center"/>
    </w:pPr>
    <w:rPr>
      <w:rFonts w:ascii="Tahoma" w:hAnsi="Tahoma" w:cs="Tahoma"/>
      <w:color w:val="0000CC"/>
      <w:u w:val="single"/>
    </w:rPr>
  </w:style>
  <w:style w:type="character" w:styleId="UnresolvedMention">
    <w:name w:val="Unresolved Mention"/>
    <w:uiPriority w:val="99"/>
    <w:semiHidden/>
    <w:unhideWhenUsed/>
    <w:rsid w:val="00BD3A67"/>
    <w:rPr>
      <w:color w:val="605E5C"/>
      <w:shd w:val="clear" w:color="auto" w:fill="E1DFDD"/>
    </w:rPr>
  </w:style>
  <w:style w:type="paragraph" w:styleId="Revision">
    <w:name w:val="Revision"/>
    <w:hidden/>
    <w:uiPriority w:val="99"/>
    <w:semiHidden/>
    <w:rsid w:val="009C69BC"/>
    <w:rPr>
      <w:rFonts w:ascii="Arial" w:hAnsi="Arial"/>
      <w:sz w:val="24"/>
    </w:rPr>
  </w:style>
  <w:style w:type="paragraph" w:customStyle="1" w:styleId="pf0">
    <w:name w:val="pf0"/>
    <w:basedOn w:val="Normal"/>
    <w:rsid w:val="008955B6"/>
    <w:pPr>
      <w:spacing w:before="100" w:beforeAutospacing="1" w:after="100" w:afterAutospacing="1"/>
    </w:pPr>
    <w:rPr>
      <w:rFonts w:ascii="Times New Roman" w:hAnsi="Times New Roman"/>
      <w:szCs w:val="24"/>
    </w:rPr>
  </w:style>
  <w:style w:type="character" w:customStyle="1" w:styleId="cf01">
    <w:name w:val="cf01"/>
    <w:rsid w:val="008955B6"/>
    <w:rPr>
      <w:rFonts w:ascii="Segoe UI" w:hAnsi="Segoe UI" w:cs="Segoe UI" w:hint="default"/>
      <w:sz w:val="18"/>
      <w:szCs w:val="18"/>
    </w:rPr>
  </w:style>
  <w:style w:type="character" w:customStyle="1" w:styleId="FooterChar">
    <w:name w:val="Footer Char"/>
    <w:basedOn w:val="DefaultParagraphFont"/>
    <w:link w:val="Footer"/>
    <w:uiPriority w:val="99"/>
    <w:rsid w:val="00430489"/>
    <w:rPr>
      <w:rFonts w:ascii="Tahoma" w:hAnsi="Tahoma"/>
      <w:b/>
      <w:sz w:val="22"/>
    </w:rPr>
  </w:style>
  <w:style w:type="paragraph" w:styleId="ListParagraph">
    <w:name w:val="List Paragraph"/>
    <w:basedOn w:val="Normal"/>
    <w:uiPriority w:val="34"/>
    <w:qFormat/>
    <w:rsid w:val="00136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007136">
      <w:bodyDiv w:val="1"/>
      <w:marLeft w:val="0"/>
      <w:marRight w:val="0"/>
      <w:marTop w:val="0"/>
      <w:marBottom w:val="0"/>
      <w:divBdr>
        <w:top w:val="none" w:sz="0" w:space="0" w:color="auto"/>
        <w:left w:val="none" w:sz="0" w:space="0" w:color="auto"/>
        <w:bottom w:val="none" w:sz="0" w:space="0" w:color="auto"/>
        <w:right w:val="none" w:sz="0" w:space="0" w:color="auto"/>
      </w:divBdr>
    </w:div>
    <w:div w:id="1304773212">
      <w:bodyDiv w:val="1"/>
      <w:marLeft w:val="0"/>
      <w:marRight w:val="0"/>
      <w:marTop w:val="0"/>
      <w:marBottom w:val="0"/>
      <w:divBdr>
        <w:top w:val="none" w:sz="0" w:space="0" w:color="auto"/>
        <w:left w:val="none" w:sz="0" w:space="0" w:color="auto"/>
        <w:bottom w:val="none" w:sz="0" w:space="0" w:color="auto"/>
        <w:right w:val="none" w:sz="0" w:space="0" w:color="auto"/>
      </w:divBdr>
    </w:div>
    <w:div w:id="1639332941">
      <w:bodyDiv w:val="1"/>
      <w:marLeft w:val="0"/>
      <w:marRight w:val="0"/>
      <w:marTop w:val="0"/>
      <w:marBottom w:val="0"/>
      <w:divBdr>
        <w:top w:val="none" w:sz="0" w:space="0" w:color="auto"/>
        <w:left w:val="none" w:sz="0" w:space="0" w:color="auto"/>
        <w:bottom w:val="none" w:sz="0" w:space="0" w:color="auto"/>
        <w:right w:val="none" w:sz="0" w:space="0" w:color="auto"/>
      </w:divBdr>
    </w:div>
    <w:div w:id="1730834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oast.noaa.gov/data/czm/media/CZMA_10_11_06.pdf" TargetMode="External"/><Relationship Id="rId117" Type="http://schemas.openxmlformats.org/officeDocument/2006/relationships/header" Target="header5.xml"/><Relationship Id="rId21" Type="http://schemas.openxmlformats.org/officeDocument/2006/relationships/hyperlink" Target="https://www.epa.gov/cwa-404/protection-wetlands-executive-order-11990" TargetMode="External"/><Relationship Id="rId42" Type="http://schemas.openxmlformats.org/officeDocument/2006/relationships/hyperlink" Target="https://www.epa.gov/superfund/superfund-national-priorities-list-npl" TargetMode="External"/><Relationship Id="rId47" Type="http://schemas.openxmlformats.org/officeDocument/2006/relationships/hyperlink" Target="https://www.federalregister.gov/documents/2021/01/25/2021-01753/advancing-racial-equity-and-support-for-underserved-communities-through-the-federal-government" TargetMode="External"/><Relationship Id="rId63" Type="http://schemas.openxmlformats.org/officeDocument/2006/relationships/hyperlink" Target="https://www.cdbgsc.com/wp-content/uploads/2018/11/Sample-NOI-to-RROF-10-14.doc" TargetMode="External"/><Relationship Id="rId68" Type="http://schemas.openxmlformats.org/officeDocument/2006/relationships/hyperlink" Target="https://www.cdbgsc.com/wp-content/uploads/2018/11/ACHP-e106-Adverse-Effect-Notification-Form.pdf" TargetMode="External"/><Relationship Id="rId84" Type="http://schemas.openxmlformats.org/officeDocument/2006/relationships/hyperlink" Target="https://www.cdbgsc.com/wp-content/uploads/2022/05/Using-a-Phase-I-ESA-in-HUD-Environmental-Review.pdf" TargetMode="External"/><Relationship Id="rId89" Type="http://schemas.openxmlformats.org/officeDocument/2006/relationships/hyperlink" Target="https://view.officeapps.live.com/op/view.aspx?src=https%3A%2F%2Ffiles.hudexchange.info%2Fresources%2Fdocuments%2FWetlands-Protection-Worksheet.docx&amp;wdOrigin=BROWSELINK" TargetMode="External"/><Relationship Id="rId112" Type="http://schemas.openxmlformats.org/officeDocument/2006/relationships/hyperlink" Target="https://www.cdbgsc.com/wp-content/uploads/2018/11/Publication-Guide-for-Combined-Notice-NOI-and-FONSI.docx" TargetMode="External"/><Relationship Id="rId16" Type="http://schemas.openxmlformats.org/officeDocument/2006/relationships/hyperlink" Target="https://www.ecfr.gov/current/title-24/subtitle-A/part-58/subpart-A/section-58.6" TargetMode="External"/><Relationship Id="rId107" Type="http://schemas.openxmlformats.org/officeDocument/2006/relationships/image" Target="media/image1.png"/><Relationship Id="rId11" Type="http://schemas.openxmlformats.org/officeDocument/2006/relationships/hyperlink" Target="https://www.ecfr.gov/current/title-24/subtitle-A/part-58/subpart-A/section-58.6" TargetMode="External"/><Relationship Id="rId32" Type="http://schemas.openxmlformats.org/officeDocument/2006/relationships/hyperlink" Target="https://schtportal.dnr.sc.gov/portal/apps/sites/" TargetMode="External"/><Relationship Id="rId37" Type="http://schemas.openxmlformats.org/officeDocument/2006/relationships/hyperlink" Target="https://www.hudexchange.info/resource/313/hud-noise-guidebook/" TargetMode="External"/><Relationship Id="rId53" Type="http://schemas.openxmlformats.org/officeDocument/2006/relationships/hyperlink" Target="https://www.cdbgsc.com/wp-content/uploads/2018/11/Request-for-Release-of-Funds-REV-10-16.doc" TargetMode="External"/><Relationship Id="rId58" Type="http://schemas.openxmlformats.org/officeDocument/2006/relationships/hyperlink" Target="https://www.cdbgsc.com/wp-content/uploads/2018/11/Combined-Notice-Notice-to-Public-of-No-Significant-Impact-and-Notice-of-Intent-to-Request-a-Release-of-Funds-Revised-01-2016.doc" TargetMode="External"/><Relationship Id="rId74" Type="http://schemas.openxmlformats.org/officeDocument/2006/relationships/hyperlink" Target="https://www.cdbgsc.com/wp-content/uploads/2018/11/Wetland-Identification-Procedures.doc" TargetMode="External"/><Relationship Id="rId79" Type="http://schemas.openxmlformats.org/officeDocument/2006/relationships/hyperlink" Target="http://www.dnr.sc.gov/species/" TargetMode="External"/><Relationship Id="rId102" Type="http://schemas.openxmlformats.org/officeDocument/2006/relationships/hyperlink" Target="https://www.epa.gov/cwa-404/floodplain-management-executive-order-11988" TargetMode="External"/><Relationship Id="rId5" Type="http://schemas.openxmlformats.org/officeDocument/2006/relationships/numbering" Target="numbering.xml"/><Relationship Id="rId90" Type="http://schemas.openxmlformats.org/officeDocument/2006/relationships/hyperlink" Target="https://www.cdbgsc.com/wp-content/uploads/2018/11/Publication-Guide-for-Combined-Notice-NOI-and-FONSI.docx" TargetMode="External"/><Relationship Id="rId95" Type="http://schemas.openxmlformats.org/officeDocument/2006/relationships/footer" Target="footer1.xml"/><Relationship Id="rId22" Type="http://schemas.openxmlformats.org/officeDocument/2006/relationships/hyperlink" Target="https://www.cdbgsc.com/forms/environmental/wp-content/uploads/2018/11/Section-106_Project_Review_Form-rev-11-18.pdf" TargetMode="External"/><Relationship Id="rId27" Type="http://schemas.openxmlformats.org/officeDocument/2006/relationships/hyperlink" Target="https://www.epa.gov/sdwa" TargetMode="External"/><Relationship Id="rId43" Type="http://schemas.openxmlformats.org/officeDocument/2006/relationships/hyperlink" Target="https://www.epa.gov/epcra/cercla-hazardous-substances-defined" TargetMode="External"/><Relationship Id="rId48" Type="http://schemas.openxmlformats.org/officeDocument/2006/relationships/hyperlink" Target="https://www.ecfr.gov/current/title-24/subtitle-A/part-58/subpart-A/section-58.6" TargetMode="External"/><Relationship Id="rId64" Type="http://schemas.openxmlformats.org/officeDocument/2006/relationships/hyperlink" Target="https://www.cdbgsc.com/wp-content/uploads/2018/11/Combined-Notice-Notice-to-Public-of-No-Significant-Impact-and-Notice-of-Intent-to-Request-a-Release-of-Funds-Revised-01-2016.doc" TargetMode="External"/><Relationship Id="rId69" Type="http://schemas.openxmlformats.org/officeDocument/2006/relationships/hyperlink" Target="https://www.cdbgsc.com/wp-content/uploads/2018/11/USDA-Tribal-Review-Sample.doc" TargetMode="External"/><Relationship Id="rId113" Type="http://schemas.openxmlformats.org/officeDocument/2006/relationships/hyperlink" Target="https://www.cdbgsc.com/wp-content/uploads/2018/11/updated-HUD-8-step-notices-2015.doc" TargetMode="External"/><Relationship Id="rId118" Type="http://schemas.openxmlformats.org/officeDocument/2006/relationships/footer" Target="footer4.xml"/><Relationship Id="rId80" Type="http://schemas.openxmlformats.org/officeDocument/2006/relationships/hyperlink" Target="https://www.cdbgsc.com/wp-content/uploads/2018/11/Environmental-Assessment-Factors-Guidance-10-14.pdf" TargetMode="External"/><Relationship Id="rId85" Type="http://schemas.openxmlformats.org/officeDocument/2006/relationships/hyperlink" Target="https://www.cdbgsc.com/wp-content/uploads/2018/11/Process-for-Combined-Notice-Publication.docx" TargetMode="External"/><Relationship Id="rId12" Type="http://schemas.openxmlformats.org/officeDocument/2006/relationships/hyperlink" Target="https://www.ecfr.gov/current/title-24/subtitle-A/part-58/subpart-A/section-58.5" TargetMode="External"/><Relationship Id="rId17" Type="http://schemas.openxmlformats.org/officeDocument/2006/relationships/hyperlink" Target="https://www.ecfr.gov/current/title-24/subtitle-A/part-58/subpart-A/section-58.6" TargetMode="External"/><Relationship Id="rId33" Type="http://schemas.openxmlformats.org/officeDocument/2006/relationships/hyperlink" Target="https://www.nps.gov/rigr/learn/management/upload/wsr-act.pdf" TargetMode="External"/><Relationship Id="rId38" Type="http://schemas.openxmlformats.org/officeDocument/2006/relationships/hyperlink" Target="https://www.ecfr.gov/current/title-24/subtitle-A/part-51/subpart-C" TargetMode="External"/><Relationship Id="rId59" Type="http://schemas.openxmlformats.org/officeDocument/2006/relationships/hyperlink" Target="https://www.cdbgsc.com/wp-content/uploads/2018/11/Combined-Notice-Notice-to-Public-of-No-Significant-Impact-and-Notice-of-Intent-to-Request-a-Release-of-Funds-Revised-01-2016.doc" TargetMode="External"/><Relationship Id="rId103" Type="http://schemas.openxmlformats.org/officeDocument/2006/relationships/hyperlink" Target="https://www.epa.gov/cwa-404/protection-wetlands-executive-order-11990" TargetMode="External"/><Relationship Id="rId108" Type="http://schemas.openxmlformats.org/officeDocument/2006/relationships/hyperlink" Target="https://www.mvp.usace.army.mil/Portals/57/docs/regulatory/Website%20Organization/Corps%20of%20Engineers%20Wetlands%20Delineation%20Manual%20(1987).pdf" TargetMode="External"/><Relationship Id="rId54" Type="http://schemas.openxmlformats.org/officeDocument/2006/relationships/hyperlink" Target="https://www.ecfr.gov/current/title-24/section-58.75" TargetMode="External"/><Relationship Id="rId70" Type="http://schemas.openxmlformats.org/officeDocument/2006/relationships/hyperlink" Target="https://www.cdbgsc.com/wp-content/uploads/2018/11/Catawba-Indian-Nation-Consultation-Guidelines.pdf" TargetMode="External"/><Relationship Id="rId75" Type="http://schemas.openxmlformats.org/officeDocument/2006/relationships/hyperlink" Target="https://www.cdbgsc.com/wp-content/uploads/2018/11/HUD-CPD-12-006-Tribal-Contact-10-14.doc" TargetMode="External"/><Relationship Id="rId91" Type="http://schemas.openxmlformats.org/officeDocument/2006/relationships/hyperlink" Target="https://www.cdbgsc.com/wp-content/uploads/2018/11/Using-Tiering-with-Unspecified-Sites.pdf"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dbgsc.com/wp-content/uploads/2020/08/SHPO_SCDOC-CDBG-Agreement_Final_executed.pdf" TargetMode="External"/><Relationship Id="rId28" Type="http://schemas.openxmlformats.org/officeDocument/2006/relationships/hyperlink" Target="https://www.fws.gov/law/endangered-species-act" TargetMode="External"/><Relationship Id="rId49" Type="http://schemas.openxmlformats.org/officeDocument/2006/relationships/hyperlink" Target="https://www.fws.gov/CBRA/" TargetMode="External"/><Relationship Id="rId114" Type="http://schemas.openxmlformats.org/officeDocument/2006/relationships/hyperlink" Target="https://www.cdbgsc.com/wp-content/uploads/2023/01/Environmental-Assessment-update-01.20.2023.docx" TargetMode="External"/><Relationship Id="rId119" Type="http://schemas.openxmlformats.org/officeDocument/2006/relationships/footer" Target="footer5.xml"/><Relationship Id="rId44" Type="http://schemas.openxmlformats.org/officeDocument/2006/relationships/hyperlink" Target="https://www.cdbgsc.com/wp-content/uploads/2022/05/Using-a-Phase-I-ESA-in-HUD-Environmental-Review.pdf" TargetMode="External"/><Relationship Id="rId60" Type="http://schemas.openxmlformats.org/officeDocument/2006/relationships/hyperlink" Target="https://www.scstatehouse.gov/code/t48c014.php" TargetMode="External"/><Relationship Id="rId65" Type="http://schemas.openxmlformats.org/officeDocument/2006/relationships/hyperlink" Target="https://www.cdbgsc.com/wp-content/uploads/2018/11/Section-106-Review-Process-Fees.pdf" TargetMode="External"/><Relationship Id="rId81" Type="http://schemas.openxmlformats.org/officeDocument/2006/relationships/hyperlink" Target="https://www.cdbgsc.com/wp-content/uploads/2018/11/Sample-NOI-to-RROF-10-14.doc" TargetMode="External"/><Relationship Id="rId86" Type="http://schemas.openxmlformats.org/officeDocument/2006/relationships/hyperlink" Target="https://www.cdbgsc.com/wp-content/uploads/2018/11/Environmental-Review-Flowchart-10-11.xls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cfr.gov/current/title-24/subtitle-A/part-58/subpart-A/section-58.6" TargetMode="External"/><Relationship Id="rId18" Type="http://schemas.openxmlformats.org/officeDocument/2006/relationships/hyperlink" Target="https://www.ecfr.gov/current/title-24/section-58.35" TargetMode="External"/><Relationship Id="rId39" Type="http://schemas.openxmlformats.org/officeDocument/2006/relationships/hyperlink" Target="https://www.hudexchange.info/programs/environmental-review/explosive-and-flammable-facilities/" TargetMode="External"/><Relationship Id="rId109" Type="http://schemas.openxmlformats.org/officeDocument/2006/relationships/image" Target="media/image2.png"/><Relationship Id="rId34" Type="http://schemas.openxmlformats.org/officeDocument/2006/relationships/hyperlink" Target="https://www.epa.gov/clean-air-act-overview" TargetMode="External"/><Relationship Id="rId50" Type="http://schemas.openxmlformats.org/officeDocument/2006/relationships/hyperlink" Target="https://www.cdbgsc.com/wp-content/uploads/2021/06/Agency-Contact-List-REV-12-2020-FINAL.doc" TargetMode="External"/><Relationship Id="rId55" Type="http://schemas.openxmlformats.org/officeDocument/2006/relationships/hyperlink" Target="https://www.hudexchange.info/programs/environmental-review/environmental-assessment/" TargetMode="External"/><Relationship Id="rId76" Type="http://schemas.openxmlformats.org/officeDocument/2006/relationships/hyperlink" Target="https://www.hudexchange.info/trainings/courses/ffrms-final-rule-webinar-series-part-55-overview-and-compliance/" TargetMode="External"/><Relationship Id="rId97" Type="http://schemas.openxmlformats.org/officeDocument/2006/relationships/header" Target="header3.xml"/><Relationship Id="rId104" Type="http://schemas.openxmlformats.org/officeDocument/2006/relationships/hyperlink" Target="https://files.hudexchange.info/resources/documents/Floodplain-Management-8-Step-Decision-Making-Process-Flow-Chart.pdf"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cdbgsc.com/wp-content/uploads/2018/11/US-Fish-and-Wildlife-Service-Section-7-Consultation-Requirements.pdf" TargetMode="External"/><Relationship Id="rId92" Type="http://schemas.openxmlformats.org/officeDocument/2006/relationships/hyperlink" Target="https://www.cdbgsc.com/wp-content/uploads/2018/11/Site-Specific-Checklist.doc" TargetMode="External"/><Relationship Id="rId2" Type="http://schemas.openxmlformats.org/officeDocument/2006/relationships/customXml" Target="../customXml/item2.xml"/><Relationship Id="rId29" Type="http://schemas.openxmlformats.org/officeDocument/2006/relationships/hyperlink" Target="https://www.fws.gov/sites/default/files/documents/2024-08/public-clearance-to-proceed-with-federally-insured-loan-grant-projects-august-2024.pdf" TargetMode="External"/><Relationship Id="rId24" Type="http://schemas.openxmlformats.org/officeDocument/2006/relationships/hyperlink" Target="https://egis.hud.gov/tdat/" TargetMode="External"/><Relationship Id="rId40" Type="http://schemas.openxmlformats.org/officeDocument/2006/relationships/hyperlink" Target="https://www.ecfr.gov/current/title-24/part-50/section-50.3" TargetMode="External"/><Relationship Id="rId45" Type="http://schemas.openxmlformats.org/officeDocument/2006/relationships/hyperlink" Target="https://www.hudexchange.info/programs/environmental-review/site-contamination/" TargetMode="External"/><Relationship Id="rId66" Type="http://schemas.openxmlformats.org/officeDocument/2006/relationships/hyperlink" Target="https://www.cdbgsc.com/wp-content/uploads/2018/11/ACHP-e106-Notice-of-Availability.pdf" TargetMode="External"/><Relationship Id="rId87" Type="http://schemas.openxmlformats.org/officeDocument/2006/relationships/hyperlink" Target="https://www.cdbgsc.com/wp-content/uploads/2024/10/Decision-Making-Process-for-Floodplains-EO-11988-and-13690.pdf" TargetMode="External"/><Relationship Id="rId110" Type="http://schemas.openxmlformats.org/officeDocument/2006/relationships/hyperlink" Target="https://www.cdbgsc.com/wp-content/uploads/2018/11/updated-HUD-8-step-notices-2015.doc" TargetMode="External"/><Relationship Id="rId115" Type="http://schemas.openxmlformats.org/officeDocument/2006/relationships/hyperlink" Target="https://www.scstatehouse.gov/code/t48c014.php" TargetMode="External"/><Relationship Id="rId61" Type="http://schemas.openxmlformats.org/officeDocument/2006/relationships/hyperlink" Target="https://www.ecfr.gov/current/title-24/part-58/subpart-G" TargetMode="External"/><Relationship Id="rId82" Type="http://schemas.openxmlformats.org/officeDocument/2006/relationships/hyperlink" Target="https://www.cdbgsc.com/wp-content/uploads/2018/11/Combined-Notice-Notice-to-Public-of-No-Significant-Impact-and-Notice-of-Intent-to-Request-a-Release-of-Funds-Revised-01-2016.doc" TargetMode="External"/><Relationship Id="rId19" Type="http://schemas.openxmlformats.org/officeDocument/2006/relationships/hyperlink" Target="https://www.ecfr.gov/current/title-24/subtitle-A/part-58/subpart-A/section-58.5" TargetMode="External"/><Relationship Id="rId14" Type="http://schemas.openxmlformats.org/officeDocument/2006/relationships/hyperlink" Target="https://www.hudexchange.info/environmental-review/" TargetMode="External"/><Relationship Id="rId30" Type="http://schemas.openxmlformats.org/officeDocument/2006/relationships/hyperlink" Target="https://www.fws.gov/office/south-carolina-ecological-services/project-review-south-carolina-field-office" TargetMode="External"/><Relationship Id="rId35" Type="http://schemas.openxmlformats.org/officeDocument/2006/relationships/hyperlink" Target="https://www.ecfr.gov/current/title-7/subtitle-B/chapter-VI/subchapter-F/part-658" TargetMode="External"/><Relationship Id="rId56" Type="http://schemas.openxmlformats.org/officeDocument/2006/relationships/hyperlink" Target="https://www.cdbgsc.com/wp-content/uploads/2021/06/Agency-Contact-List-REV-12-2020-FINAL.doc" TargetMode="External"/><Relationship Id="rId77" Type="http://schemas.openxmlformats.org/officeDocument/2006/relationships/hyperlink" Target="https://www.cdbgsc.com/wp-content/uploads/2021/06/Agency-Contact-List-REV-12-2020-FINAL.doc" TargetMode="External"/><Relationship Id="rId100" Type="http://schemas.openxmlformats.org/officeDocument/2006/relationships/hyperlink" Target="https://www.cdbgsc.com/wp-content/uploads/2020/09/Part-58-CEST-Format-as-of-9-2020.docx" TargetMode="External"/><Relationship Id="rId105" Type="http://schemas.openxmlformats.org/officeDocument/2006/relationships/hyperlink" Target="https://www.hudexchange.info/resource/5662/notice-cpd-17-13-notice-for-interpreting-the-limits-of-the-floodway-for-linear-infrastructure-projects-complying-with-hud-floodplain-management-regulations/" TargetMode="External"/><Relationship Id="rId8" Type="http://schemas.openxmlformats.org/officeDocument/2006/relationships/webSettings" Target="webSettings.xml"/><Relationship Id="rId51" Type="http://schemas.openxmlformats.org/officeDocument/2006/relationships/hyperlink" Target="https://www.cdbgsc.com/wp-content/uploads/2020/09/Part-58-CEST-Format-as-of-9-2020.docx" TargetMode="External"/><Relationship Id="rId72" Type="http://schemas.openxmlformats.org/officeDocument/2006/relationships/hyperlink" Target="https://www.fws.gov/sites/default/files/documents/2024-08/public-clearance-to-proceed-with-federally-insured-loan-grant-projects-august-2024.pdf" TargetMode="External"/><Relationship Id="rId93" Type="http://schemas.openxmlformats.org/officeDocument/2006/relationships/header" Target="header1.xml"/><Relationship Id="rId98" Type="http://schemas.openxmlformats.org/officeDocument/2006/relationships/footer" Target="footer3.xm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hudexchange.info/resource/3785/tribal-consultation-letter-template/" TargetMode="External"/><Relationship Id="rId46" Type="http://schemas.openxmlformats.org/officeDocument/2006/relationships/hyperlink" Target="https://www.federalregister.gov/documents/1994/02/16/94-3685/federal-actions-to-address-environmental-justice-in-minority-populations-and-low-income-populations" TargetMode="External"/><Relationship Id="rId67" Type="http://schemas.openxmlformats.org/officeDocument/2006/relationships/hyperlink" Target="https://www.cdbgsc.com/wp-content/uploads/2018/11/ACHP-e106-Instructions-and-Form.pdf" TargetMode="External"/><Relationship Id="rId116" Type="http://schemas.openxmlformats.org/officeDocument/2006/relationships/header" Target="header4.xml"/><Relationship Id="rId20" Type="http://schemas.openxmlformats.org/officeDocument/2006/relationships/hyperlink" Target="https://www.epa.gov/cwa-404/floodplain-management-executive-order-11988" TargetMode="External"/><Relationship Id="rId41" Type="http://schemas.openxmlformats.org/officeDocument/2006/relationships/hyperlink" Target="https://www.ecfr.gov/current/title-24/part-58/section-58.5" TargetMode="External"/><Relationship Id="rId62" Type="http://schemas.openxmlformats.org/officeDocument/2006/relationships/hyperlink" Target="https://www.ecfr.gov/current/title-40/chapter-V/subchapter-A" TargetMode="External"/><Relationship Id="rId83" Type="http://schemas.openxmlformats.org/officeDocument/2006/relationships/hyperlink" Target="https://www.cdbgsc.com/wp-content/uploads/2018/11/Request-for-Release-of-Funds-REV-10-16.doc" TargetMode="External"/><Relationship Id="rId88" Type="http://schemas.openxmlformats.org/officeDocument/2006/relationships/hyperlink" Target="https://www.cdbgsc.com/wp-content/uploads/2024/10/Floodplain-Management-HUD-RE-Worksheet-2024.docx" TargetMode="External"/><Relationship Id="rId111" Type="http://schemas.openxmlformats.org/officeDocument/2006/relationships/hyperlink" Target="https://www.cdbgsc.com/wp-content/uploads/2018/11/Publication-Guide-for-Combined-Notice-NOI.docx" TargetMode="External"/><Relationship Id="rId15" Type="http://schemas.openxmlformats.org/officeDocument/2006/relationships/hyperlink" Target="mailto:sc-cdbg@sccommerce.com" TargetMode="External"/><Relationship Id="rId36" Type="http://schemas.openxmlformats.org/officeDocument/2006/relationships/hyperlink" Target="https://www.ecfr.gov/current/title-24/subtitle-A/part-51/subpart-B" TargetMode="External"/><Relationship Id="rId57" Type="http://schemas.openxmlformats.org/officeDocument/2006/relationships/hyperlink" Target="https://www.cdbgsc.com/wp-content/uploads/2020/09/Part-58-CEST-Format-as-of-9-2020.docx" TargetMode="External"/><Relationship Id="rId106" Type="http://schemas.openxmlformats.org/officeDocument/2006/relationships/hyperlink" Target="https://www.hudexchange.info/news/ffrms-final-rule-webinar-series/" TargetMode="External"/><Relationship Id="rId10" Type="http://schemas.openxmlformats.org/officeDocument/2006/relationships/endnotes" Target="endnotes.xml"/><Relationship Id="rId31" Type="http://schemas.openxmlformats.org/officeDocument/2006/relationships/hyperlink" Target="https://schtportal.dnr.sc.gov/portal/apps/sites/" TargetMode="External"/><Relationship Id="rId52" Type="http://schemas.openxmlformats.org/officeDocument/2006/relationships/hyperlink" Target="https://www.cdbgsc.com/wp-content/uploads/2018/11/Publication-Guide-for-Combined-Notice-NOI.docx" TargetMode="External"/><Relationship Id="rId73" Type="http://schemas.openxmlformats.org/officeDocument/2006/relationships/hyperlink" Target="https://www.cdbgsc.com/wp-content/uploads/2018/11/Corps-Request-for-Jurisdictional-Determination-Delineation-April-2017.pdf" TargetMode="External"/><Relationship Id="rId78" Type="http://schemas.openxmlformats.org/officeDocument/2006/relationships/hyperlink" Target="https://www.cdbgsc.com/wp-content/uploads/2018/11/Web-Resources-for-Environmental-Review.pdf" TargetMode="External"/><Relationship Id="rId94" Type="http://schemas.openxmlformats.org/officeDocument/2006/relationships/header" Target="header2.xml"/><Relationship Id="rId99" Type="http://schemas.openxmlformats.org/officeDocument/2006/relationships/hyperlink" Target="https://www.cdbgsc.com/wp-content/uploads/2023/01/Environmental-Assessment-update-01.20.2023.docx" TargetMode="External"/><Relationship Id="rId101" Type="http://schemas.openxmlformats.org/officeDocument/2006/relationships/hyperlink" Target="https://www.cdbgsc.com/wp-content/uploads/2018/11/Site-Specific-Checkli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2E70961861E64DAB0DC6165F6DAEE1" ma:contentTypeVersion="15" ma:contentTypeDescription="Create a new document." ma:contentTypeScope="" ma:versionID="8bc1a2ae951795d443bf61a8cba1f5b9">
  <xsd:schema xmlns:xsd="http://www.w3.org/2001/XMLSchema" xmlns:xs="http://www.w3.org/2001/XMLSchema" xmlns:p="http://schemas.microsoft.com/office/2006/metadata/properties" xmlns:ns2="70b654de-c280-42b2-8774-1668d84e2de0" xmlns:ns3="a38999bf-75a0-4f1c-abe7-f2735e49a70e" targetNamespace="http://schemas.microsoft.com/office/2006/metadata/properties" ma:root="true" ma:fieldsID="ba9d86ad4a401eef90999b76f651e5f0" ns2:_="" ns3:_="">
    <xsd:import namespace="70b654de-c280-42b2-8774-1668d84e2de0"/>
    <xsd:import namespace="a38999bf-75a0-4f1c-abe7-f2735e49a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654de-c280-42b2-8774-1668d84e2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92ef52-3311-4344-8b56-09767279121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999bf-75a0-4f1c-abe7-f2735e49a7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fb0a25-b8ae-412f-b8af-fd911a8622df}" ma:internalName="TaxCatchAll" ma:showField="CatchAllData" ma:web="a38999bf-75a0-4f1c-abe7-f2735e49a7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8999bf-75a0-4f1c-abe7-f2735e49a70e" xsi:nil="true"/>
    <lcf76f155ced4ddcb4097134ff3c332f xmlns="70b654de-c280-42b2-8774-1668d84e2de0">
      <Terms xmlns="http://schemas.microsoft.com/office/infopath/2007/PartnerControls"/>
    </lcf76f155ced4ddcb4097134ff3c332f>
    <SharedWithUsers xmlns="a38999bf-75a0-4f1c-abe7-f2735e49a70e">
      <UserInfo>
        <DisplayName>Griffin, Caroline</DisplayName>
        <AccountId>35</AccountId>
        <AccountType/>
      </UserInfo>
      <UserInfo>
        <DisplayName>McMahan, Keely</DisplayName>
        <AccountId>29</AccountId>
        <AccountType/>
      </UserInfo>
      <UserInfo>
        <DisplayName>Biediger, Hallie</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2DC3-9EEE-41AB-B1D8-5B847C47F4A9}">
  <ds:schemaRefs>
    <ds:schemaRef ds:uri="http://schemas.microsoft.com/sharepoint/v3/contenttype/forms"/>
  </ds:schemaRefs>
</ds:datastoreItem>
</file>

<file path=customXml/itemProps2.xml><?xml version="1.0" encoding="utf-8"?>
<ds:datastoreItem xmlns:ds="http://schemas.openxmlformats.org/officeDocument/2006/customXml" ds:itemID="{E4716DF6-3D40-44AD-B1FB-03CED78F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654de-c280-42b2-8774-1668d84e2de0"/>
    <ds:schemaRef ds:uri="a38999bf-75a0-4f1c-abe7-f2735e49a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21B36-C14A-40A5-A707-2C54E9F02061}">
  <ds:schemaRefs>
    <ds:schemaRef ds:uri="http://schemas.microsoft.com/office/2006/metadata/properties"/>
    <ds:schemaRef ds:uri="http://schemas.microsoft.com/office/infopath/2007/PartnerControls"/>
    <ds:schemaRef ds:uri="a38999bf-75a0-4f1c-abe7-f2735e49a70e"/>
    <ds:schemaRef ds:uri="70b654de-c280-42b2-8774-1668d84e2de0"/>
  </ds:schemaRefs>
</ds:datastoreItem>
</file>

<file path=customXml/itemProps4.xml><?xml version="1.0" encoding="utf-8"?>
<ds:datastoreItem xmlns:ds="http://schemas.openxmlformats.org/officeDocument/2006/customXml" ds:itemID="{1DCAEFA8-2B52-4F9D-A041-1ADAF3E4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13416</Words>
  <Characters>76472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CHAPTER 1: PROGRAM START-UP REQUIREMENTS</vt:lpstr>
    </vt:vector>
  </TitlesOfParts>
  <Company>ICF Kaiser International, Inc</Company>
  <LinksUpToDate>false</LinksUpToDate>
  <CharactersWithSpaces>89709</CharactersWithSpaces>
  <SharedDoc>false</SharedDoc>
  <HLinks>
    <vt:vector size="1008" baseType="variant">
      <vt:variant>
        <vt:i4>4849668</vt:i4>
      </vt:variant>
      <vt:variant>
        <vt:i4>504</vt:i4>
      </vt:variant>
      <vt:variant>
        <vt:i4>0</vt:i4>
      </vt:variant>
      <vt:variant>
        <vt:i4>5</vt:i4>
      </vt:variant>
      <vt:variant>
        <vt:lpwstr>https://www.scstatehouse.gov/code/t48c014.php</vt:lpwstr>
      </vt:variant>
      <vt:variant>
        <vt:lpwstr/>
      </vt:variant>
      <vt:variant>
        <vt:i4>6029315</vt:i4>
      </vt:variant>
      <vt:variant>
        <vt:i4>501</vt:i4>
      </vt:variant>
      <vt:variant>
        <vt:i4>0</vt:i4>
      </vt:variant>
      <vt:variant>
        <vt:i4>5</vt:i4>
      </vt:variant>
      <vt:variant>
        <vt:lpwstr>https://www.cdbgsc.com/wp-content/uploads/2023/01/Environmental-Assessment-update-01.20.2023.docx</vt:lpwstr>
      </vt:variant>
      <vt:variant>
        <vt:lpwstr/>
      </vt:variant>
      <vt:variant>
        <vt:i4>262151</vt:i4>
      </vt:variant>
      <vt:variant>
        <vt:i4>498</vt:i4>
      </vt:variant>
      <vt:variant>
        <vt:i4>0</vt:i4>
      </vt:variant>
      <vt:variant>
        <vt:i4>5</vt:i4>
      </vt:variant>
      <vt:variant>
        <vt:lpwstr>https://www.cdbgsc.com/wp-content/uploads/2018/11/updated-HUD-8-step-notices-2015.doc</vt:lpwstr>
      </vt:variant>
      <vt:variant>
        <vt:lpwstr/>
      </vt:variant>
      <vt:variant>
        <vt:i4>2162796</vt:i4>
      </vt:variant>
      <vt:variant>
        <vt:i4>495</vt:i4>
      </vt:variant>
      <vt:variant>
        <vt:i4>0</vt:i4>
      </vt:variant>
      <vt:variant>
        <vt:i4>5</vt:i4>
      </vt:variant>
      <vt:variant>
        <vt:lpwstr>https://www.cdbgsc.com/wp-content/uploads/2018/11/Publication-Guide-for-Combined-Notice-NOI-and-FONSI.docx</vt:lpwstr>
      </vt:variant>
      <vt:variant>
        <vt:lpwstr/>
      </vt:variant>
      <vt:variant>
        <vt:i4>5439496</vt:i4>
      </vt:variant>
      <vt:variant>
        <vt:i4>492</vt:i4>
      </vt:variant>
      <vt:variant>
        <vt:i4>0</vt:i4>
      </vt:variant>
      <vt:variant>
        <vt:i4>5</vt:i4>
      </vt:variant>
      <vt:variant>
        <vt:lpwstr>https://www.cdbgsc.com/wp-content/uploads/2018/11/Publication-Guide-for-Combined-Notice-NOI.docx</vt:lpwstr>
      </vt:variant>
      <vt:variant>
        <vt:lpwstr/>
      </vt:variant>
      <vt:variant>
        <vt:i4>262151</vt:i4>
      </vt:variant>
      <vt:variant>
        <vt:i4>489</vt:i4>
      </vt:variant>
      <vt:variant>
        <vt:i4>0</vt:i4>
      </vt:variant>
      <vt:variant>
        <vt:i4>5</vt:i4>
      </vt:variant>
      <vt:variant>
        <vt:lpwstr>https://www.cdbgsc.com/wp-content/uploads/2018/11/updated-HUD-8-step-notices-2015.doc</vt:lpwstr>
      </vt:variant>
      <vt:variant>
        <vt:lpwstr/>
      </vt:variant>
      <vt:variant>
        <vt:i4>4259866</vt:i4>
      </vt:variant>
      <vt:variant>
        <vt:i4>486</vt:i4>
      </vt:variant>
      <vt:variant>
        <vt:i4>0</vt:i4>
      </vt:variant>
      <vt:variant>
        <vt:i4>5</vt:i4>
      </vt:variant>
      <vt:variant>
        <vt:lpwstr>https://www.mvp.usace.army.mil/Portals/57/docs/regulatory/Website Organization/Corps of Engineers Wetlands Delineation Manual (1987).pdf</vt:lpwstr>
      </vt:variant>
      <vt:variant>
        <vt:lpwstr/>
      </vt:variant>
      <vt:variant>
        <vt:i4>7471166</vt:i4>
      </vt:variant>
      <vt:variant>
        <vt:i4>483</vt:i4>
      </vt:variant>
      <vt:variant>
        <vt:i4>0</vt:i4>
      </vt:variant>
      <vt:variant>
        <vt:i4>5</vt:i4>
      </vt:variant>
      <vt:variant>
        <vt:lpwstr>https://www.hudexchange.info/resource/5662/notice-cpd-17-13-notice-for-interpreting-the-limits-of-the-floodway-for-linear-infrastructure-projects-complying-with-hud-floodplain-management-regulations/</vt:lpwstr>
      </vt:variant>
      <vt:variant>
        <vt:lpwstr/>
      </vt:variant>
      <vt:variant>
        <vt:i4>6029319</vt:i4>
      </vt:variant>
      <vt:variant>
        <vt:i4>480</vt:i4>
      </vt:variant>
      <vt:variant>
        <vt:i4>0</vt:i4>
      </vt:variant>
      <vt:variant>
        <vt:i4>5</vt:i4>
      </vt:variant>
      <vt:variant>
        <vt:lpwstr>https://www.epa.gov/cwa-404/protection-wetlands-executive-order-11990</vt:lpwstr>
      </vt:variant>
      <vt:variant>
        <vt:lpwstr/>
      </vt:variant>
      <vt:variant>
        <vt:i4>2228334</vt:i4>
      </vt:variant>
      <vt:variant>
        <vt:i4>477</vt:i4>
      </vt:variant>
      <vt:variant>
        <vt:i4>0</vt:i4>
      </vt:variant>
      <vt:variant>
        <vt:i4>5</vt:i4>
      </vt:variant>
      <vt:variant>
        <vt:lpwstr>https://www.epa.gov/cwa-404/floodplain-management-executive-order-11988</vt:lpwstr>
      </vt:variant>
      <vt:variant>
        <vt:lpwstr/>
      </vt:variant>
      <vt:variant>
        <vt:i4>393230</vt:i4>
      </vt:variant>
      <vt:variant>
        <vt:i4>474</vt:i4>
      </vt:variant>
      <vt:variant>
        <vt:i4>0</vt:i4>
      </vt:variant>
      <vt:variant>
        <vt:i4>5</vt:i4>
      </vt:variant>
      <vt:variant>
        <vt:lpwstr>https://www.cdbgsc.com/wp-content/uploads/2018/11/Site-Specific-Checklist.doc</vt:lpwstr>
      </vt:variant>
      <vt:variant>
        <vt:lpwstr/>
      </vt:variant>
      <vt:variant>
        <vt:i4>3276835</vt:i4>
      </vt:variant>
      <vt:variant>
        <vt:i4>471</vt:i4>
      </vt:variant>
      <vt:variant>
        <vt:i4>0</vt:i4>
      </vt:variant>
      <vt:variant>
        <vt:i4>5</vt:i4>
      </vt:variant>
      <vt:variant>
        <vt:lpwstr>https://www.cdbgsc.com/wp-content/uploads/2020/09/Part-58-CEST-Format-as-of-9-2020.docx</vt:lpwstr>
      </vt:variant>
      <vt:variant>
        <vt:lpwstr/>
      </vt:variant>
      <vt:variant>
        <vt:i4>6029315</vt:i4>
      </vt:variant>
      <vt:variant>
        <vt:i4>468</vt:i4>
      </vt:variant>
      <vt:variant>
        <vt:i4>0</vt:i4>
      </vt:variant>
      <vt:variant>
        <vt:i4>5</vt:i4>
      </vt:variant>
      <vt:variant>
        <vt:lpwstr>https://www.cdbgsc.com/wp-content/uploads/2023/01/Environmental-Assessment-update-01.20.2023.docx</vt:lpwstr>
      </vt:variant>
      <vt:variant>
        <vt:lpwstr/>
      </vt:variant>
      <vt:variant>
        <vt:i4>393230</vt:i4>
      </vt:variant>
      <vt:variant>
        <vt:i4>465</vt:i4>
      </vt:variant>
      <vt:variant>
        <vt:i4>0</vt:i4>
      </vt:variant>
      <vt:variant>
        <vt:i4>5</vt:i4>
      </vt:variant>
      <vt:variant>
        <vt:lpwstr>https://www.cdbgsc.com/wp-content/uploads/2018/11/Site-Specific-Checklist.doc</vt:lpwstr>
      </vt:variant>
      <vt:variant>
        <vt:lpwstr/>
      </vt:variant>
      <vt:variant>
        <vt:i4>6815865</vt:i4>
      </vt:variant>
      <vt:variant>
        <vt:i4>462</vt:i4>
      </vt:variant>
      <vt:variant>
        <vt:i4>0</vt:i4>
      </vt:variant>
      <vt:variant>
        <vt:i4>5</vt:i4>
      </vt:variant>
      <vt:variant>
        <vt:lpwstr>https://www.cdbgsc.com/wp-content/uploads/2018/11/Using-Tiering-with-Unspecified-Sites.pdf</vt:lpwstr>
      </vt:variant>
      <vt:variant>
        <vt:lpwstr/>
      </vt:variant>
      <vt:variant>
        <vt:i4>1310790</vt:i4>
      </vt:variant>
      <vt:variant>
        <vt:i4>459</vt:i4>
      </vt:variant>
      <vt:variant>
        <vt:i4>0</vt:i4>
      </vt:variant>
      <vt:variant>
        <vt:i4>5</vt:i4>
      </vt:variant>
      <vt:variant>
        <vt:lpwstr>https://www.cdbgsc.com/wp-content/uploads/2018/11/NEPA-Public-Comment-Calculator.xlsx</vt:lpwstr>
      </vt:variant>
      <vt:variant>
        <vt:lpwstr/>
      </vt:variant>
      <vt:variant>
        <vt:i4>5439496</vt:i4>
      </vt:variant>
      <vt:variant>
        <vt:i4>456</vt:i4>
      </vt:variant>
      <vt:variant>
        <vt:i4>0</vt:i4>
      </vt:variant>
      <vt:variant>
        <vt:i4>5</vt:i4>
      </vt:variant>
      <vt:variant>
        <vt:lpwstr>https://www.cdbgsc.com/wp-content/uploads/2018/11/Publication-Guide-for-Combined-Notice-NOI.docx</vt:lpwstr>
      </vt:variant>
      <vt:variant>
        <vt:lpwstr/>
      </vt:variant>
      <vt:variant>
        <vt:i4>2162796</vt:i4>
      </vt:variant>
      <vt:variant>
        <vt:i4>453</vt:i4>
      </vt:variant>
      <vt:variant>
        <vt:i4>0</vt:i4>
      </vt:variant>
      <vt:variant>
        <vt:i4>5</vt:i4>
      </vt:variant>
      <vt:variant>
        <vt:lpwstr>https://www.cdbgsc.com/wp-content/uploads/2018/11/Publication-Guide-for-Combined-Notice-NOI-and-FONSI.docx</vt:lpwstr>
      </vt:variant>
      <vt:variant>
        <vt:lpwstr/>
      </vt:variant>
      <vt:variant>
        <vt:i4>6422647</vt:i4>
      </vt:variant>
      <vt:variant>
        <vt:i4>450</vt:i4>
      </vt:variant>
      <vt:variant>
        <vt:i4>0</vt:i4>
      </vt:variant>
      <vt:variant>
        <vt:i4>5</vt:i4>
      </vt:variant>
      <vt:variant>
        <vt:lpwstr>https://www.cdbgsc.com/wp-content/uploads/2018/11/Floodplain-Management-Worksheet.docx</vt:lpwstr>
      </vt:variant>
      <vt:variant>
        <vt:lpwstr/>
      </vt:variant>
      <vt:variant>
        <vt:i4>1114121</vt:i4>
      </vt:variant>
      <vt:variant>
        <vt:i4>447</vt:i4>
      </vt:variant>
      <vt:variant>
        <vt:i4>0</vt:i4>
      </vt:variant>
      <vt:variant>
        <vt:i4>5</vt:i4>
      </vt:variant>
      <vt:variant>
        <vt:lpwstr>https://www.cdbgsc.com/wp-content/uploads/2018/11/Decision-Making-Process-for-Floodplains.pdf</vt:lpwstr>
      </vt:variant>
      <vt:variant>
        <vt:lpwstr/>
      </vt:variant>
      <vt:variant>
        <vt:i4>6357111</vt:i4>
      </vt:variant>
      <vt:variant>
        <vt:i4>444</vt:i4>
      </vt:variant>
      <vt:variant>
        <vt:i4>0</vt:i4>
      </vt:variant>
      <vt:variant>
        <vt:i4>5</vt:i4>
      </vt:variant>
      <vt:variant>
        <vt:lpwstr>https://www.cdbgsc.com/wp-content/uploads/2018/11/Environmental-Review-Flowchart-10-11.xlsx</vt:lpwstr>
      </vt:variant>
      <vt:variant>
        <vt:lpwstr/>
      </vt:variant>
      <vt:variant>
        <vt:i4>6422637</vt:i4>
      </vt:variant>
      <vt:variant>
        <vt:i4>441</vt:i4>
      </vt:variant>
      <vt:variant>
        <vt:i4>0</vt:i4>
      </vt:variant>
      <vt:variant>
        <vt:i4>5</vt:i4>
      </vt:variant>
      <vt:variant>
        <vt:lpwstr>https://www.cdbgsc.com/wp-content/uploads/2018/11/Process-for-Combined-Notice-Publication.docx</vt:lpwstr>
      </vt:variant>
      <vt:variant>
        <vt:lpwstr/>
      </vt:variant>
      <vt:variant>
        <vt:i4>786450</vt:i4>
      </vt:variant>
      <vt:variant>
        <vt:i4>438</vt:i4>
      </vt:variant>
      <vt:variant>
        <vt:i4>0</vt:i4>
      </vt:variant>
      <vt:variant>
        <vt:i4>5</vt:i4>
      </vt:variant>
      <vt:variant>
        <vt:lpwstr>https://www.cdbgsc.com/wp-content/uploads/2022/05/Using-a-Phase-I-ESA-in-HUD-Environmental-Review.pdf</vt:lpwstr>
      </vt:variant>
      <vt:variant>
        <vt:lpwstr/>
      </vt:variant>
      <vt:variant>
        <vt:i4>131148</vt:i4>
      </vt:variant>
      <vt:variant>
        <vt:i4>435</vt:i4>
      </vt:variant>
      <vt:variant>
        <vt:i4>0</vt:i4>
      </vt:variant>
      <vt:variant>
        <vt:i4>5</vt:i4>
      </vt:variant>
      <vt:variant>
        <vt:lpwstr>https://www.cdbgsc.com/wp-content/uploads/2018/11/Request-for-Release-of-Funds-REV-10-16.doc</vt:lpwstr>
      </vt:variant>
      <vt:variant>
        <vt:lpwstr/>
      </vt:variant>
      <vt:variant>
        <vt:i4>6750269</vt:i4>
      </vt:variant>
      <vt:variant>
        <vt:i4>432</vt:i4>
      </vt:variant>
      <vt:variant>
        <vt:i4>0</vt:i4>
      </vt:variant>
      <vt:variant>
        <vt:i4>5</vt:i4>
      </vt:variant>
      <vt:variant>
        <vt:lpwstr>https://www.cdbgsc.com/wp-content/uploads/2018/11/Combined-Notice-Notice-to-Public-of-No-Significant-Impact-and-Notice-of-Intent-to-Request-a-Release-of-Funds-Revised-01-2016.doc</vt:lpwstr>
      </vt:variant>
      <vt:variant>
        <vt:lpwstr/>
      </vt:variant>
      <vt:variant>
        <vt:i4>7667748</vt:i4>
      </vt:variant>
      <vt:variant>
        <vt:i4>429</vt:i4>
      </vt:variant>
      <vt:variant>
        <vt:i4>0</vt:i4>
      </vt:variant>
      <vt:variant>
        <vt:i4>5</vt:i4>
      </vt:variant>
      <vt:variant>
        <vt:lpwstr>https://www.cdbgsc.com/wp-content/uploads/2018/11/Sample-NOI-to-RROF-10-14.doc</vt:lpwstr>
      </vt:variant>
      <vt:variant>
        <vt:lpwstr/>
      </vt:variant>
      <vt:variant>
        <vt:i4>262151</vt:i4>
      </vt:variant>
      <vt:variant>
        <vt:i4>426</vt:i4>
      </vt:variant>
      <vt:variant>
        <vt:i4>0</vt:i4>
      </vt:variant>
      <vt:variant>
        <vt:i4>5</vt:i4>
      </vt:variant>
      <vt:variant>
        <vt:lpwstr>https://www.cdbgsc.com/wp-content/uploads/2018/11/updated-HUD-8-step-notices-2015.doc</vt:lpwstr>
      </vt:variant>
      <vt:variant>
        <vt:lpwstr/>
      </vt:variant>
      <vt:variant>
        <vt:i4>4456467</vt:i4>
      </vt:variant>
      <vt:variant>
        <vt:i4>423</vt:i4>
      </vt:variant>
      <vt:variant>
        <vt:i4>0</vt:i4>
      </vt:variant>
      <vt:variant>
        <vt:i4>5</vt:i4>
      </vt:variant>
      <vt:variant>
        <vt:lpwstr>https://www.cdbgsc.com/wp-content/uploads/2018/11/Environmental-Assessment-Factors-Guidance-10-14.pdf</vt:lpwstr>
      </vt:variant>
      <vt:variant>
        <vt:lpwstr/>
      </vt:variant>
      <vt:variant>
        <vt:i4>7929966</vt:i4>
      </vt:variant>
      <vt:variant>
        <vt:i4>420</vt:i4>
      </vt:variant>
      <vt:variant>
        <vt:i4>0</vt:i4>
      </vt:variant>
      <vt:variant>
        <vt:i4>5</vt:i4>
      </vt:variant>
      <vt:variant>
        <vt:lpwstr>http://www.dnr.sc.gov/species/</vt:lpwstr>
      </vt:variant>
      <vt:variant>
        <vt:lpwstr/>
      </vt:variant>
      <vt:variant>
        <vt:i4>1310746</vt:i4>
      </vt:variant>
      <vt:variant>
        <vt:i4>417</vt:i4>
      </vt:variant>
      <vt:variant>
        <vt:i4>0</vt:i4>
      </vt:variant>
      <vt:variant>
        <vt:i4>5</vt:i4>
      </vt:variant>
      <vt:variant>
        <vt:lpwstr>https://www.cdbgsc.com/wp-content/uploads/2018/11/Web-Resources-for-Environmental-Review.pdf</vt:lpwstr>
      </vt:variant>
      <vt:variant>
        <vt:lpwstr/>
      </vt:variant>
      <vt:variant>
        <vt:i4>2621496</vt:i4>
      </vt:variant>
      <vt:variant>
        <vt:i4>414</vt:i4>
      </vt:variant>
      <vt:variant>
        <vt:i4>0</vt:i4>
      </vt:variant>
      <vt:variant>
        <vt:i4>5</vt:i4>
      </vt:variant>
      <vt:variant>
        <vt:lpwstr>https://www.cdbgsc.com/wp-content/uploads/2021/06/Agency-Contact-List-REV-12-2020-FINAL.doc</vt:lpwstr>
      </vt:variant>
      <vt:variant>
        <vt:lpwstr/>
      </vt:variant>
      <vt:variant>
        <vt:i4>6815785</vt:i4>
      </vt:variant>
      <vt:variant>
        <vt:i4>411</vt:i4>
      </vt:variant>
      <vt:variant>
        <vt:i4>0</vt:i4>
      </vt:variant>
      <vt:variant>
        <vt:i4>5</vt:i4>
      </vt:variant>
      <vt:variant>
        <vt:lpwstr>https://www.cdbgsc.com/wp-content/uploads/2024/01/HUD-CPD-Notice-23-103-Addressing-Radon-in-the-ERR-Process.pdf</vt:lpwstr>
      </vt:variant>
      <vt:variant>
        <vt:lpwstr/>
      </vt:variant>
      <vt:variant>
        <vt:i4>1114116</vt:i4>
      </vt:variant>
      <vt:variant>
        <vt:i4>408</vt:i4>
      </vt:variant>
      <vt:variant>
        <vt:i4>0</vt:i4>
      </vt:variant>
      <vt:variant>
        <vt:i4>5</vt:i4>
      </vt:variant>
      <vt:variant>
        <vt:lpwstr>https://www.cdbgsc.com/wp-content/uploads/2018/11/HUD-CPD-12-006-Tribal-Contact-10-14.doc</vt:lpwstr>
      </vt:variant>
      <vt:variant>
        <vt:lpwstr/>
      </vt:variant>
      <vt:variant>
        <vt:i4>6881403</vt:i4>
      </vt:variant>
      <vt:variant>
        <vt:i4>405</vt:i4>
      </vt:variant>
      <vt:variant>
        <vt:i4>0</vt:i4>
      </vt:variant>
      <vt:variant>
        <vt:i4>5</vt:i4>
      </vt:variant>
      <vt:variant>
        <vt:lpwstr>https://www.cdbgsc.com/wp-content/uploads/2018/11/Wetland-Identification-Procedures.doc</vt:lpwstr>
      </vt:variant>
      <vt:variant>
        <vt:lpwstr/>
      </vt:variant>
      <vt:variant>
        <vt:i4>7405630</vt:i4>
      </vt:variant>
      <vt:variant>
        <vt:i4>402</vt:i4>
      </vt:variant>
      <vt:variant>
        <vt:i4>0</vt:i4>
      </vt:variant>
      <vt:variant>
        <vt:i4>5</vt:i4>
      </vt:variant>
      <vt:variant>
        <vt:lpwstr>https://www.cdbgsc.com/wp-content/uploads/2018/11/Corps-Request-for-Jurisdictional-Determination-Delineation-April-2017.pdf</vt:lpwstr>
      </vt:variant>
      <vt:variant>
        <vt:lpwstr/>
      </vt:variant>
      <vt:variant>
        <vt:i4>1376274</vt:i4>
      </vt:variant>
      <vt:variant>
        <vt:i4>399</vt:i4>
      </vt:variant>
      <vt:variant>
        <vt:i4>0</vt:i4>
      </vt:variant>
      <vt:variant>
        <vt:i4>5</vt:i4>
      </vt:variant>
      <vt:variant>
        <vt:lpwstr>https://www.cdbgsc.com/wp-content/uploads/2018/11/USFW-Clearance-letter-updated-1-18.pdf</vt:lpwstr>
      </vt:variant>
      <vt:variant>
        <vt:lpwstr/>
      </vt:variant>
      <vt:variant>
        <vt:i4>8257575</vt:i4>
      </vt:variant>
      <vt:variant>
        <vt:i4>396</vt:i4>
      </vt:variant>
      <vt:variant>
        <vt:i4>0</vt:i4>
      </vt:variant>
      <vt:variant>
        <vt:i4>5</vt:i4>
      </vt:variant>
      <vt:variant>
        <vt:lpwstr>https://www.cdbgsc.com/wp-content/uploads/2018/11/US-Fish-and-Wildlife-Service-Section-7-Consultation-Requirements.pdf</vt:lpwstr>
      </vt:variant>
      <vt:variant>
        <vt:lpwstr/>
      </vt:variant>
      <vt:variant>
        <vt:i4>2162730</vt:i4>
      </vt:variant>
      <vt:variant>
        <vt:i4>393</vt:i4>
      </vt:variant>
      <vt:variant>
        <vt:i4>0</vt:i4>
      </vt:variant>
      <vt:variant>
        <vt:i4>5</vt:i4>
      </vt:variant>
      <vt:variant>
        <vt:lpwstr>https://www.cdbgsc.com/wp-content/uploads/2018/11/Catawba-Indian-Nation-Consultation-Guidelines.pdf</vt:lpwstr>
      </vt:variant>
      <vt:variant>
        <vt:lpwstr/>
      </vt:variant>
      <vt:variant>
        <vt:i4>7274554</vt:i4>
      </vt:variant>
      <vt:variant>
        <vt:i4>390</vt:i4>
      </vt:variant>
      <vt:variant>
        <vt:i4>0</vt:i4>
      </vt:variant>
      <vt:variant>
        <vt:i4>5</vt:i4>
      </vt:variant>
      <vt:variant>
        <vt:lpwstr>https://www.cdbgsc.com/wp-content/uploads/2018/11/USDA-Tribal-Review-Sample.doc</vt:lpwstr>
      </vt:variant>
      <vt:variant>
        <vt:lpwstr/>
      </vt:variant>
      <vt:variant>
        <vt:i4>1703967</vt:i4>
      </vt:variant>
      <vt:variant>
        <vt:i4>387</vt:i4>
      </vt:variant>
      <vt:variant>
        <vt:i4>0</vt:i4>
      </vt:variant>
      <vt:variant>
        <vt:i4>5</vt:i4>
      </vt:variant>
      <vt:variant>
        <vt:lpwstr>https://www.cdbgsc.com/wp-content/uploads/2018/11/ACHP-e106-Adverse-Effect-Notification-Form.pdf</vt:lpwstr>
      </vt:variant>
      <vt:variant>
        <vt:lpwstr/>
      </vt:variant>
      <vt:variant>
        <vt:i4>5439509</vt:i4>
      </vt:variant>
      <vt:variant>
        <vt:i4>384</vt:i4>
      </vt:variant>
      <vt:variant>
        <vt:i4>0</vt:i4>
      </vt:variant>
      <vt:variant>
        <vt:i4>5</vt:i4>
      </vt:variant>
      <vt:variant>
        <vt:lpwstr>https://www.cdbgsc.com/wp-content/uploads/2018/11/ACHP-e106-Instructions-and-Form.pdf</vt:lpwstr>
      </vt:variant>
      <vt:variant>
        <vt:lpwstr/>
      </vt:variant>
      <vt:variant>
        <vt:i4>4128875</vt:i4>
      </vt:variant>
      <vt:variant>
        <vt:i4>381</vt:i4>
      </vt:variant>
      <vt:variant>
        <vt:i4>0</vt:i4>
      </vt:variant>
      <vt:variant>
        <vt:i4>5</vt:i4>
      </vt:variant>
      <vt:variant>
        <vt:lpwstr>https://www.cdbgsc.com/wp-content/uploads/2018/11/ACHP-e106-Notice-of-Availability.pdf</vt:lpwstr>
      </vt:variant>
      <vt:variant>
        <vt:lpwstr/>
      </vt:variant>
      <vt:variant>
        <vt:i4>1114195</vt:i4>
      </vt:variant>
      <vt:variant>
        <vt:i4>378</vt:i4>
      </vt:variant>
      <vt:variant>
        <vt:i4>0</vt:i4>
      </vt:variant>
      <vt:variant>
        <vt:i4>5</vt:i4>
      </vt:variant>
      <vt:variant>
        <vt:lpwstr>https://www.cdbgsc.com/wp-content/uploads/2018/11/Section-106-Review-Process-Fees.pdf</vt:lpwstr>
      </vt:variant>
      <vt:variant>
        <vt:lpwstr/>
      </vt:variant>
      <vt:variant>
        <vt:i4>2490379</vt:i4>
      </vt:variant>
      <vt:variant>
        <vt:i4>375</vt:i4>
      </vt:variant>
      <vt:variant>
        <vt:i4>0</vt:i4>
      </vt:variant>
      <vt:variant>
        <vt:i4>5</vt:i4>
      </vt:variant>
      <vt:variant>
        <vt:lpwstr>https://www.cdbgsc.com/wp-content/uploads/2020/08/SHPO_SCDOC-CDBG-Agreement_Final_executed.pdf</vt:lpwstr>
      </vt:variant>
      <vt:variant>
        <vt:lpwstr/>
      </vt:variant>
      <vt:variant>
        <vt:i4>2687068</vt:i4>
      </vt:variant>
      <vt:variant>
        <vt:i4>372</vt:i4>
      </vt:variant>
      <vt:variant>
        <vt:i4>0</vt:i4>
      </vt:variant>
      <vt:variant>
        <vt:i4>5</vt:i4>
      </vt:variant>
      <vt:variant>
        <vt:lpwstr>https://www.cdbgsc.com/forms/environmental/wp-content/uploads/2018/11/Section-106_Project_Review_Form-rev-11-18.pdf</vt:lpwstr>
      </vt:variant>
      <vt:variant>
        <vt:lpwstr/>
      </vt:variant>
      <vt:variant>
        <vt:i4>6226000</vt:i4>
      </vt:variant>
      <vt:variant>
        <vt:i4>369</vt:i4>
      </vt:variant>
      <vt:variant>
        <vt:i4>0</vt:i4>
      </vt:variant>
      <vt:variant>
        <vt:i4>5</vt:i4>
      </vt:variant>
      <vt:variant>
        <vt:lpwstr>https://www.cdbgsc.com/wp-content/uploads/2018/11/Affirmation-of-Original-Environmental-Determination-10-14.docx</vt:lpwstr>
      </vt:variant>
      <vt:variant>
        <vt:lpwstr/>
      </vt:variant>
      <vt:variant>
        <vt:i4>7602214</vt:i4>
      </vt:variant>
      <vt:variant>
        <vt:i4>366</vt:i4>
      </vt:variant>
      <vt:variant>
        <vt:i4>0</vt:i4>
      </vt:variant>
      <vt:variant>
        <vt:i4>5</vt:i4>
      </vt:variant>
      <vt:variant>
        <vt:lpwstr>https://www.cdbgsc.com/wp-content/uploads/2018/11/Part-58-Exempt-CENST-as-of-10-14.docx</vt:lpwstr>
      </vt:variant>
      <vt:variant>
        <vt:lpwstr/>
      </vt:variant>
      <vt:variant>
        <vt:i4>3276835</vt:i4>
      </vt:variant>
      <vt:variant>
        <vt:i4>363</vt:i4>
      </vt:variant>
      <vt:variant>
        <vt:i4>0</vt:i4>
      </vt:variant>
      <vt:variant>
        <vt:i4>5</vt:i4>
      </vt:variant>
      <vt:variant>
        <vt:lpwstr>https://www.cdbgsc.com/wp-content/uploads/2020/09/Part-58-CEST-Format-as-of-9-2020.docx</vt:lpwstr>
      </vt:variant>
      <vt:variant>
        <vt:lpwstr/>
      </vt:variant>
      <vt:variant>
        <vt:i4>1048597</vt:i4>
      </vt:variant>
      <vt:variant>
        <vt:i4>360</vt:i4>
      </vt:variant>
      <vt:variant>
        <vt:i4>0</vt:i4>
      </vt:variant>
      <vt:variant>
        <vt:i4>5</vt:i4>
      </vt:variant>
      <vt:variant>
        <vt:lpwstr>https://www.cdbgsc.com/wp-content/uploads/2022/10/Environmental-Documentation-Sources-September-2022.docx</vt:lpwstr>
      </vt:variant>
      <vt:variant>
        <vt:lpwstr/>
      </vt:variant>
      <vt:variant>
        <vt:i4>6029315</vt:i4>
      </vt:variant>
      <vt:variant>
        <vt:i4>357</vt:i4>
      </vt:variant>
      <vt:variant>
        <vt:i4>0</vt:i4>
      </vt:variant>
      <vt:variant>
        <vt:i4>5</vt:i4>
      </vt:variant>
      <vt:variant>
        <vt:lpwstr>https://www.cdbgsc.com/wp-content/uploads/2023/01/Environmental-Assessment-update-01.20.2023.docx</vt:lpwstr>
      </vt:variant>
      <vt:variant>
        <vt:lpwstr/>
      </vt:variant>
      <vt:variant>
        <vt:i4>4784214</vt:i4>
      </vt:variant>
      <vt:variant>
        <vt:i4>354</vt:i4>
      </vt:variant>
      <vt:variant>
        <vt:i4>0</vt:i4>
      </vt:variant>
      <vt:variant>
        <vt:i4>5</vt:i4>
      </vt:variant>
      <vt:variant>
        <vt:lpwstr/>
      </vt:variant>
      <vt:variant>
        <vt:lpwstr>_Appendix_A</vt:lpwstr>
      </vt:variant>
      <vt:variant>
        <vt:i4>6750269</vt:i4>
      </vt:variant>
      <vt:variant>
        <vt:i4>351</vt:i4>
      </vt:variant>
      <vt:variant>
        <vt:i4>0</vt:i4>
      </vt:variant>
      <vt:variant>
        <vt:i4>5</vt:i4>
      </vt:variant>
      <vt:variant>
        <vt:lpwstr>https://www.cdbgsc.com/wp-content/uploads/2018/11/Combined-Notice-Notice-to-Public-of-No-Significant-Impact-and-Notice-of-Intent-to-Request-a-Release-of-Funds-Revised-01-2016.doc</vt:lpwstr>
      </vt:variant>
      <vt:variant>
        <vt:lpwstr/>
      </vt:variant>
      <vt:variant>
        <vt:i4>7667748</vt:i4>
      </vt:variant>
      <vt:variant>
        <vt:i4>348</vt:i4>
      </vt:variant>
      <vt:variant>
        <vt:i4>0</vt:i4>
      </vt:variant>
      <vt:variant>
        <vt:i4>5</vt:i4>
      </vt:variant>
      <vt:variant>
        <vt:lpwstr>https://www.cdbgsc.com/wp-content/uploads/2018/11/Sample-NOI-to-RROF-10-14.doc</vt:lpwstr>
      </vt:variant>
      <vt:variant>
        <vt:lpwstr/>
      </vt:variant>
      <vt:variant>
        <vt:i4>5832768</vt:i4>
      </vt:variant>
      <vt:variant>
        <vt:i4>345</vt:i4>
      </vt:variant>
      <vt:variant>
        <vt:i4>0</vt:i4>
      </vt:variant>
      <vt:variant>
        <vt:i4>5</vt:i4>
      </vt:variant>
      <vt:variant>
        <vt:lpwstr>https://www.ecfr.gov/current/title-40/chapter-V/subchapter-A</vt:lpwstr>
      </vt:variant>
      <vt:variant>
        <vt:lpwstr/>
      </vt:variant>
      <vt:variant>
        <vt:i4>6619236</vt:i4>
      </vt:variant>
      <vt:variant>
        <vt:i4>342</vt:i4>
      </vt:variant>
      <vt:variant>
        <vt:i4>0</vt:i4>
      </vt:variant>
      <vt:variant>
        <vt:i4>5</vt:i4>
      </vt:variant>
      <vt:variant>
        <vt:lpwstr>https://www.ecfr.gov/current/title-24/part-58/subpart-G</vt:lpwstr>
      </vt:variant>
      <vt:variant>
        <vt:lpwstr/>
      </vt:variant>
      <vt:variant>
        <vt:i4>5439602</vt:i4>
      </vt:variant>
      <vt:variant>
        <vt:i4>339</vt:i4>
      </vt:variant>
      <vt:variant>
        <vt:i4>0</vt:i4>
      </vt:variant>
      <vt:variant>
        <vt:i4>5</vt:i4>
      </vt:variant>
      <vt:variant>
        <vt:lpwstr/>
      </vt:variant>
      <vt:variant>
        <vt:lpwstr>EIS_Def</vt:lpwstr>
      </vt:variant>
      <vt:variant>
        <vt:i4>4784214</vt:i4>
      </vt:variant>
      <vt:variant>
        <vt:i4>336</vt:i4>
      </vt:variant>
      <vt:variant>
        <vt:i4>0</vt:i4>
      </vt:variant>
      <vt:variant>
        <vt:i4>5</vt:i4>
      </vt:variant>
      <vt:variant>
        <vt:lpwstr/>
      </vt:variant>
      <vt:variant>
        <vt:lpwstr>_Appendix_C</vt:lpwstr>
      </vt:variant>
      <vt:variant>
        <vt:i4>4849668</vt:i4>
      </vt:variant>
      <vt:variant>
        <vt:i4>333</vt:i4>
      </vt:variant>
      <vt:variant>
        <vt:i4>0</vt:i4>
      </vt:variant>
      <vt:variant>
        <vt:i4>5</vt:i4>
      </vt:variant>
      <vt:variant>
        <vt:lpwstr>https://www.scstatehouse.gov/code/t48c014.php</vt:lpwstr>
      </vt:variant>
      <vt:variant>
        <vt:lpwstr/>
      </vt:variant>
      <vt:variant>
        <vt:i4>6750269</vt:i4>
      </vt:variant>
      <vt:variant>
        <vt:i4>330</vt:i4>
      </vt:variant>
      <vt:variant>
        <vt:i4>0</vt:i4>
      </vt:variant>
      <vt:variant>
        <vt:i4>5</vt:i4>
      </vt:variant>
      <vt:variant>
        <vt:lpwstr>https://www.cdbgsc.com/wp-content/uploads/2018/11/Combined-Notice-Notice-to-Public-of-No-Significant-Impact-and-Notice-of-Intent-to-Request-a-Release-of-Funds-Revised-01-2016.doc</vt:lpwstr>
      </vt:variant>
      <vt:variant>
        <vt:lpwstr/>
      </vt:variant>
      <vt:variant>
        <vt:i4>2490373</vt:i4>
      </vt:variant>
      <vt:variant>
        <vt:i4>327</vt:i4>
      </vt:variant>
      <vt:variant>
        <vt:i4>0</vt:i4>
      </vt:variant>
      <vt:variant>
        <vt:i4>5</vt:i4>
      </vt:variant>
      <vt:variant>
        <vt:lpwstr/>
      </vt:variant>
      <vt:variant>
        <vt:lpwstr>FONSI_Def</vt:lpwstr>
      </vt:variant>
      <vt:variant>
        <vt:i4>2621496</vt:i4>
      </vt:variant>
      <vt:variant>
        <vt:i4>324</vt:i4>
      </vt:variant>
      <vt:variant>
        <vt:i4>0</vt:i4>
      </vt:variant>
      <vt:variant>
        <vt:i4>5</vt:i4>
      </vt:variant>
      <vt:variant>
        <vt:lpwstr>https://www.cdbgsc.com/wp-content/uploads/2021/06/Agency-Contact-List-REV-12-2020-FINAL.doc</vt:lpwstr>
      </vt:variant>
      <vt:variant>
        <vt:lpwstr/>
      </vt:variant>
      <vt:variant>
        <vt:i4>5374037</vt:i4>
      </vt:variant>
      <vt:variant>
        <vt:i4>321</vt:i4>
      </vt:variant>
      <vt:variant>
        <vt:i4>0</vt:i4>
      </vt:variant>
      <vt:variant>
        <vt:i4>5</vt:i4>
      </vt:variant>
      <vt:variant>
        <vt:lpwstr>https://www.fws.gov/CBRA/</vt:lpwstr>
      </vt:variant>
      <vt:variant>
        <vt:lpwstr/>
      </vt:variant>
      <vt:variant>
        <vt:i4>3997742</vt:i4>
      </vt:variant>
      <vt:variant>
        <vt:i4>318</vt:i4>
      </vt:variant>
      <vt:variant>
        <vt:i4>0</vt:i4>
      </vt:variant>
      <vt:variant>
        <vt:i4>5</vt:i4>
      </vt:variant>
      <vt:variant>
        <vt:lpwstr>https://www.federalregister.gov/documents/2021/01/25/2021-01753/advancing-racial-equity-and-support-for-underserved-communities-through-the-federal-government</vt:lpwstr>
      </vt:variant>
      <vt:variant>
        <vt:lpwstr/>
      </vt:variant>
      <vt:variant>
        <vt:i4>4784203</vt:i4>
      </vt:variant>
      <vt:variant>
        <vt:i4>315</vt:i4>
      </vt:variant>
      <vt:variant>
        <vt:i4>0</vt:i4>
      </vt:variant>
      <vt:variant>
        <vt:i4>5</vt:i4>
      </vt:variant>
      <vt:variant>
        <vt:lpwstr>https://www.federalregister.gov/documents/1994/02/16/94-3685/federal-actions-to-address-environmental-justice-in-minority-populations-and-low-income-populations</vt:lpwstr>
      </vt:variant>
      <vt:variant>
        <vt:lpwstr/>
      </vt:variant>
      <vt:variant>
        <vt:i4>2752635</vt:i4>
      </vt:variant>
      <vt:variant>
        <vt:i4>312</vt:i4>
      </vt:variant>
      <vt:variant>
        <vt:i4>0</vt:i4>
      </vt:variant>
      <vt:variant>
        <vt:i4>5</vt:i4>
      </vt:variant>
      <vt:variant>
        <vt:lpwstr>https://www.hudexchange.info/resource/7055/notice-cpd-23-103-departmental-policy-for-addressing-radon-in-the-environmental-review-process/</vt:lpwstr>
      </vt:variant>
      <vt:variant>
        <vt:lpwstr/>
      </vt:variant>
      <vt:variant>
        <vt:i4>786450</vt:i4>
      </vt:variant>
      <vt:variant>
        <vt:i4>309</vt:i4>
      </vt:variant>
      <vt:variant>
        <vt:i4>0</vt:i4>
      </vt:variant>
      <vt:variant>
        <vt:i4>5</vt:i4>
      </vt:variant>
      <vt:variant>
        <vt:lpwstr>https://www.cdbgsc.com/wp-content/uploads/2022/05/Using-a-Phase-I-ESA-in-HUD-Environmental-Review.pdf</vt:lpwstr>
      </vt:variant>
      <vt:variant>
        <vt:lpwstr/>
      </vt:variant>
      <vt:variant>
        <vt:i4>4849733</vt:i4>
      </vt:variant>
      <vt:variant>
        <vt:i4>306</vt:i4>
      </vt:variant>
      <vt:variant>
        <vt:i4>0</vt:i4>
      </vt:variant>
      <vt:variant>
        <vt:i4>5</vt:i4>
      </vt:variant>
      <vt:variant>
        <vt:lpwstr>https://www.epa.gov/epcra/cercla-hazardous-substances-defined</vt:lpwstr>
      </vt:variant>
      <vt:variant>
        <vt:lpwstr/>
      </vt:variant>
      <vt:variant>
        <vt:i4>1441856</vt:i4>
      </vt:variant>
      <vt:variant>
        <vt:i4>303</vt:i4>
      </vt:variant>
      <vt:variant>
        <vt:i4>0</vt:i4>
      </vt:variant>
      <vt:variant>
        <vt:i4>5</vt:i4>
      </vt:variant>
      <vt:variant>
        <vt:lpwstr>https://www.epa.gov/superfund/superfund-national-priorities-list-npl</vt:lpwstr>
      </vt:variant>
      <vt:variant>
        <vt:lpwstr/>
      </vt:variant>
      <vt:variant>
        <vt:i4>2687028</vt:i4>
      </vt:variant>
      <vt:variant>
        <vt:i4>300</vt:i4>
      </vt:variant>
      <vt:variant>
        <vt:i4>0</vt:i4>
      </vt:variant>
      <vt:variant>
        <vt:i4>5</vt:i4>
      </vt:variant>
      <vt:variant>
        <vt:lpwstr>https://www.ecfr.gov/current/title-24/part-58/section-58.5</vt:lpwstr>
      </vt:variant>
      <vt:variant>
        <vt:lpwstr>p-58.5(i)(2)</vt:lpwstr>
      </vt:variant>
      <vt:variant>
        <vt:i4>2621479</vt:i4>
      </vt:variant>
      <vt:variant>
        <vt:i4>297</vt:i4>
      </vt:variant>
      <vt:variant>
        <vt:i4>0</vt:i4>
      </vt:variant>
      <vt:variant>
        <vt:i4>5</vt:i4>
      </vt:variant>
      <vt:variant>
        <vt:lpwstr>https://www.ecfr.gov/current/title-24/part-50/section-50.3</vt:lpwstr>
      </vt:variant>
      <vt:variant>
        <vt:lpwstr>p-50.3(i)</vt:lpwstr>
      </vt:variant>
      <vt:variant>
        <vt:i4>2621545</vt:i4>
      </vt:variant>
      <vt:variant>
        <vt:i4>294</vt:i4>
      </vt:variant>
      <vt:variant>
        <vt:i4>0</vt:i4>
      </vt:variant>
      <vt:variant>
        <vt:i4>5</vt:i4>
      </vt:variant>
      <vt:variant>
        <vt:lpwstr>https://www.hudexchange.info/programs/environmental-review/explosive-and-flammable-facilities/</vt:lpwstr>
      </vt:variant>
      <vt:variant>
        <vt:lpwstr/>
      </vt:variant>
      <vt:variant>
        <vt:i4>3670068</vt:i4>
      </vt:variant>
      <vt:variant>
        <vt:i4>291</vt:i4>
      </vt:variant>
      <vt:variant>
        <vt:i4>0</vt:i4>
      </vt:variant>
      <vt:variant>
        <vt:i4>5</vt:i4>
      </vt:variant>
      <vt:variant>
        <vt:lpwstr>https://www.ecfr.gov/current/title-24/subtitle-A/part-51/subpart-C</vt:lpwstr>
      </vt:variant>
      <vt:variant>
        <vt:lpwstr/>
      </vt:variant>
      <vt:variant>
        <vt:i4>7209067</vt:i4>
      </vt:variant>
      <vt:variant>
        <vt:i4>288</vt:i4>
      </vt:variant>
      <vt:variant>
        <vt:i4>0</vt:i4>
      </vt:variant>
      <vt:variant>
        <vt:i4>5</vt:i4>
      </vt:variant>
      <vt:variant>
        <vt:lpwstr>https://www.hudexchange.info/resource/313/hud-noise-guidebook/</vt:lpwstr>
      </vt:variant>
      <vt:variant>
        <vt:lpwstr/>
      </vt:variant>
      <vt:variant>
        <vt:i4>3735604</vt:i4>
      </vt:variant>
      <vt:variant>
        <vt:i4>285</vt:i4>
      </vt:variant>
      <vt:variant>
        <vt:i4>0</vt:i4>
      </vt:variant>
      <vt:variant>
        <vt:i4>5</vt:i4>
      </vt:variant>
      <vt:variant>
        <vt:lpwstr>https://www.ecfr.gov/current/title-24/subtitle-A/part-51/subpart-B</vt:lpwstr>
      </vt:variant>
      <vt:variant>
        <vt:lpwstr/>
      </vt:variant>
      <vt:variant>
        <vt:i4>262210</vt:i4>
      </vt:variant>
      <vt:variant>
        <vt:i4>282</vt:i4>
      </vt:variant>
      <vt:variant>
        <vt:i4>0</vt:i4>
      </vt:variant>
      <vt:variant>
        <vt:i4>5</vt:i4>
      </vt:variant>
      <vt:variant>
        <vt:lpwstr>https://www.nrcs.usda.gov/conservation-basics/natural-resource-concerns/land/cropland/farmland-protection-policy-act</vt:lpwstr>
      </vt:variant>
      <vt:variant>
        <vt:lpwstr/>
      </vt:variant>
      <vt:variant>
        <vt:i4>6684706</vt:i4>
      </vt:variant>
      <vt:variant>
        <vt:i4>279</vt:i4>
      </vt:variant>
      <vt:variant>
        <vt:i4>0</vt:i4>
      </vt:variant>
      <vt:variant>
        <vt:i4>5</vt:i4>
      </vt:variant>
      <vt:variant>
        <vt:lpwstr>https://www.epa.gov/clean-air-act-overview</vt:lpwstr>
      </vt:variant>
      <vt:variant>
        <vt:lpwstr/>
      </vt:variant>
      <vt:variant>
        <vt:i4>262231</vt:i4>
      </vt:variant>
      <vt:variant>
        <vt:i4>276</vt:i4>
      </vt:variant>
      <vt:variant>
        <vt:i4>0</vt:i4>
      </vt:variant>
      <vt:variant>
        <vt:i4>5</vt:i4>
      </vt:variant>
      <vt:variant>
        <vt:lpwstr>https://www.rivers.gov/rivers/legislation</vt:lpwstr>
      </vt:variant>
      <vt:variant>
        <vt:lpwstr/>
      </vt:variant>
      <vt:variant>
        <vt:i4>4456461</vt:i4>
      </vt:variant>
      <vt:variant>
        <vt:i4>273</vt:i4>
      </vt:variant>
      <vt:variant>
        <vt:i4>0</vt:i4>
      </vt:variant>
      <vt:variant>
        <vt:i4>5</vt:i4>
      </vt:variant>
      <vt:variant>
        <vt:lpwstr>https://schtportal.dnr.sc.gov/portal/apps/sites/</vt:lpwstr>
      </vt:variant>
      <vt:variant>
        <vt:lpwstr>/natural-heritage-program</vt:lpwstr>
      </vt:variant>
      <vt:variant>
        <vt:i4>1048585</vt:i4>
      </vt:variant>
      <vt:variant>
        <vt:i4>270</vt:i4>
      </vt:variant>
      <vt:variant>
        <vt:i4>0</vt:i4>
      </vt:variant>
      <vt:variant>
        <vt:i4>5</vt:i4>
      </vt:variant>
      <vt:variant>
        <vt:lpwstr>http://www.fws.gov/charleston/regulatory.html</vt:lpwstr>
      </vt:variant>
      <vt:variant>
        <vt:lpwstr/>
      </vt:variant>
      <vt:variant>
        <vt:i4>3407967</vt:i4>
      </vt:variant>
      <vt:variant>
        <vt:i4>267</vt:i4>
      </vt:variant>
      <vt:variant>
        <vt:i4>0</vt:i4>
      </vt:variant>
      <vt:variant>
        <vt:i4>5</vt:i4>
      </vt:variant>
      <vt:variant>
        <vt:lpwstr>https://www.fws.gov/sites/default/files/documents/endangered-species-act-accessible_7.pdf</vt:lpwstr>
      </vt:variant>
      <vt:variant>
        <vt:lpwstr/>
      </vt:variant>
      <vt:variant>
        <vt:i4>5439569</vt:i4>
      </vt:variant>
      <vt:variant>
        <vt:i4>264</vt:i4>
      </vt:variant>
      <vt:variant>
        <vt:i4>0</vt:i4>
      </vt:variant>
      <vt:variant>
        <vt:i4>5</vt:i4>
      </vt:variant>
      <vt:variant>
        <vt:lpwstr>https://www.epa.gov/sdwa</vt:lpwstr>
      </vt:variant>
      <vt:variant>
        <vt:lpwstr/>
      </vt:variant>
      <vt:variant>
        <vt:i4>4915320</vt:i4>
      </vt:variant>
      <vt:variant>
        <vt:i4>261</vt:i4>
      </vt:variant>
      <vt:variant>
        <vt:i4>0</vt:i4>
      </vt:variant>
      <vt:variant>
        <vt:i4>5</vt:i4>
      </vt:variant>
      <vt:variant>
        <vt:lpwstr>https://coast.noaa.gov/data/czm/media/CZMA_10_11_06.pdf</vt:lpwstr>
      </vt:variant>
      <vt:variant>
        <vt:lpwstr/>
      </vt:variant>
      <vt:variant>
        <vt:i4>3014762</vt:i4>
      </vt:variant>
      <vt:variant>
        <vt:i4>255</vt:i4>
      </vt:variant>
      <vt:variant>
        <vt:i4>0</vt:i4>
      </vt:variant>
      <vt:variant>
        <vt:i4>5</vt:i4>
      </vt:variant>
      <vt:variant>
        <vt:lpwstr>https://www.hudexchange.info/resource/3785/tribal-consultation-letter-template</vt:lpwstr>
      </vt:variant>
      <vt:variant>
        <vt:lpwstr/>
      </vt:variant>
      <vt:variant>
        <vt:i4>2228329</vt:i4>
      </vt:variant>
      <vt:variant>
        <vt:i4>252</vt:i4>
      </vt:variant>
      <vt:variant>
        <vt:i4>0</vt:i4>
      </vt:variant>
      <vt:variant>
        <vt:i4>5</vt:i4>
      </vt:variant>
      <vt:variant>
        <vt:lpwstr>https://egis.hud.gov/tdat/</vt:lpwstr>
      </vt:variant>
      <vt:variant>
        <vt:lpwstr/>
      </vt:variant>
      <vt:variant>
        <vt:i4>4915202</vt:i4>
      </vt:variant>
      <vt:variant>
        <vt:i4>249</vt:i4>
      </vt:variant>
      <vt:variant>
        <vt:i4>0</vt:i4>
      </vt:variant>
      <vt:variant>
        <vt:i4>5</vt:i4>
      </vt:variant>
      <vt:variant>
        <vt:lpwstr/>
      </vt:variant>
      <vt:variant>
        <vt:lpwstr>Section_one0six_forms</vt:lpwstr>
      </vt:variant>
      <vt:variant>
        <vt:i4>2359322</vt:i4>
      </vt:variant>
      <vt:variant>
        <vt:i4>246</vt:i4>
      </vt:variant>
      <vt:variant>
        <vt:i4>0</vt:i4>
      </vt:variant>
      <vt:variant>
        <vt:i4>5</vt:i4>
      </vt:variant>
      <vt:variant>
        <vt:lpwstr/>
      </vt:variant>
      <vt:variant>
        <vt:lpwstr>NOI_RROF</vt:lpwstr>
      </vt:variant>
      <vt:variant>
        <vt:i4>4784214</vt:i4>
      </vt:variant>
      <vt:variant>
        <vt:i4>243</vt:i4>
      </vt:variant>
      <vt:variant>
        <vt:i4>0</vt:i4>
      </vt:variant>
      <vt:variant>
        <vt:i4>5</vt:i4>
      </vt:variant>
      <vt:variant>
        <vt:lpwstr/>
      </vt:variant>
      <vt:variant>
        <vt:lpwstr>_Appendix_B</vt:lpwstr>
      </vt:variant>
      <vt:variant>
        <vt:i4>5242972</vt:i4>
      </vt:variant>
      <vt:variant>
        <vt:i4>240</vt:i4>
      </vt:variant>
      <vt:variant>
        <vt:i4>0</vt:i4>
      </vt:variant>
      <vt:variant>
        <vt:i4>5</vt:i4>
      </vt:variant>
      <vt:variant>
        <vt:lpwstr/>
      </vt:variant>
      <vt:variant>
        <vt:lpwstr>eight_step_notices</vt:lpwstr>
      </vt:variant>
      <vt:variant>
        <vt:i4>6029319</vt:i4>
      </vt:variant>
      <vt:variant>
        <vt:i4>237</vt:i4>
      </vt:variant>
      <vt:variant>
        <vt:i4>0</vt:i4>
      </vt:variant>
      <vt:variant>
        <vt:i4>5</vt:i4>
      </vt:variant>
      <vt:variant>
        <vt:lpwstr>https://www.epa.gov/cwa-404/protection-wetlands-executive-order-11990</vt:lpwstr>
      </vt:variant>
      <vt:variant>
        <vt:lpwstr/>
      </vt:variant>
      <vt:variant>
        <vt:i4>2228334</vt:i4>
      </vt:variant>
      <vt:variant>
        <vt:i4>234</vt:i4>
      </vt:variant>
      <vt:variant>
        <vt:i4>0</vt:i4>
      </vt:variant>
      <vt:variant>
        <vt:i4>5</vt:i4>
      </vt:variant>
      <vt:variant>
        <vt:lpwstr>https://www.epa.gov/cwa-404/floodplain-management-executive-order-11988</vt:lpwstr>
      </vt:variant>
      <vt:variant>
        <vt:lpwstr/>
      </vt:variant>
      <vt:variant>
        <vt:i4>1966122</vt:i4>
      </vt:variant>
      <vt:variant>
        <vt:i4>231</vt:i4>
      </vt:variant>
      <vt:variant>
        <vt:i4>0</vt:i4>
      </vt:variant>
      <vt:variant>
        <vt:i4>5</vt:i4>
      </vt:variant>
      <vt:variant>
        <vt:lpwstr/>
      </vt:variant>
      <vt:variant>
        <vt:lpwstr>Doc_of_Source_ER</vt:lpwstr>
      </vt:variant>
      <vt:variant>
        <vt:i4>6488159</vt:i4>
      </vt:variant>
      <vt:variant>
        <vt:i4>228</vt:i4>
      </vt:variant>
      <vt:variant>
        <vt:i4>0</vt:i4>
      </vt:variant>
      <vt:variant>
        <vt:i4>5</vt:i4>
      </vt:variant>
      <vt:variant>
        <vt:lpwstr/>
      </vt:variant>
      <vt:variant>
        <vt:lpwstr>EA_Def</vt:lpwstr>
      </vt:variant>
      <vt:variant>
        <vt:i4>7078011</vt:i4>
      </vt:variant>
      <vt:variant>
        <vt:i4>225</vt:i4>
      </vt:variant>
      <vt:variant>
        <vt:i4>0</vt:i4>
      </vt:variant>
      <vt:variant>
        <vt:i4>5</vt:i4>
      </vt:variant>
      <vt:variant>
        <vt:lpwstr>https://www.ecfr.gov/current/title-24/section-58.75</vt:lpwstr>
      </vt:variant>
      <vt:variant>
        <vt:lpwstr/>
      </vt:variant>
      <vt:variant>
        <vt:i4>131148</vt:i4>
      </vt:variant>
      <vt:variant>
        <vt:i4>222</vt:i4>
      </vt:variant>
      <vt:variant>
        <vt:i4>0</vt:i4>
      </vt:variant>
      <vt:variant>
        <vt:i4>5</vt:i4>
      </vt:variant>
      <vt:variant>
        <vt:lpwstr>https://www.cdbgsc.com/wp-content/uploads/2018/11/Request-for-Release-of-Funds-REV-10-16.doc</vt:lpwstr>
      </vt:variant>
      <vt:variant>
        <vt:lpwstr/>
      </vt:variant>
      <vt:variant>
        <vt:i4>2621496</vt:i4>
      </vt:variant>
      <vt:variant>
        <vt:i4>219</vt:i4>
      </vt:variant>
      <vt:variant>
        <vt:i4>0</vt:i4>
      </vt:variant>
      <vt:variant>
        <vt:i4>5</vt:i4>
      </vt:variant>
      <vt:variant>
        <vt:lpwstr>https://www.cdbgsc.com/wp-content/uploads/2021/06/Agency-Contact-List-REV-12-2020-FINAL.doc</vt:lpwstr>
      </vt:variant>
      <vt:variant>
        <vt:lpwstr/>
      </vt:variant>
      <vt:variant>
        <vt:i4>540082209</vt:i4>
      </vt:variant>
      <vt:variant>
        <vt:i4>216</vt:i4>
      </vt:variant>
      <vt:variant>
        <vt:i4>0</vt:i4>
      </vt:variant>
      <vt:variant>
        <vt:i4>5</vt:i4>
      </vt:variant>
      <vt:variant>
        <vt:lpwstr/>
      </vt:variant>
      <vt:variant>
        <vt:lpwstr>_Section_5_–</vt:lpwstr>
      </vt:variant>
      <vt:variant>
        <vt:i4>5439496</vt:i4>
      </vt:variant>
      <vt:variant>
        <vt:i4>213</vt:i4>
      </vt:variant>
      <vt:variant>
        <vt:i4>0</vt:i4>
      </vt:variant>
      <vt:variant>
        <vt:i4>5</vt:i4>
      </vt:variant>
      <vt:variant>
        <vt:lpwstr>https://www.cdbgsc.com/wp-content/uploads/2018/11/Publication-Guide-for-Combined-Notice-NOI.docx</vt:lpwstr>
      </vt:variant>
      <vt:variant>
        <vt:lpwstr/>
      </vt:variant>
      <vt:variant>
        <vt:i4>6488153</vt:i4>
      </vt:variant>
      <vt:variant>
        <vt:i4>210</vt:i4>
      </vt:variant>
      <vt:variant>
        <vt:i4>0</vt:i4>
      </vt:variant>
      <vt:variant>
        <vt:i4>5</vt:i4>
      </vt:variant>
      <vt:variant>
        <vt:lpwstr/>
      </vt:variant>
      <vt:variant>
        <vt:lpwstr>_Chapter_2:_Environmental</vt:lpwstr>
      </vt:variant>
      <vt:variant>
        <vt:i4>3276835</vt:i4>
      </vt:variant>
      <vt:variant>
        <vt:i4>207</vt:i4>
      </vt:variant>
      <vt:variant>
        <vt:i4>0</vt:i4>
      </vt:variant>
      <vt:variant>
        <vt:i4>5</vt:i4>
      </vt:variant>
      <vt:variant>
        <vt:lpwstr>https://www.cdbgsc.com/wp-content/uploads/2020/09/Part-58-CEST-Format-as-of-9-2020.docx</vt:lpwstr>
      </vt:variant>
      <vt:variant>
        <vt:lpwstr/>
      </vt:variant>
      <vt:variant>
        <vt:i4>2621496</vt:i4>
      </vt:variant>
      <vt:variant>
        <vt:i4>204</vt:i4>
      </vt:variant>
      <vt:variant>
        <vt:i4>0</vt:i4>
      </vt:variant>
      <vt:variant>
        <vt:i4>5</vt:i4>
      </vt:variant>
      <vt:variant>
        <vt:lpwstr>https://www.cdbgsc.com/wp-content/uploads/2021/06/Agency-Contact-List-REV-12-2020-FINAL.doc</vt:lpwstr>
      </vt:variant>
      <vt:variant>
        <vt:lpwstr/>
      </vt:variant>
      <vt:variant>
        <vt:i4>1966122</vt:i4>
      </vt:variant>
      <vt:variant>
        <vt:i4>201</vt:i4>
      </vt:variant>
      <vt:variant>
        <vt:i4>0</vt:i4>
      </vt:variant>
      <vt:variant>
        <vt:i4>5</vt:i4>
      </vt:variant>
      <vt:variant>
        <vt:lpwstr/>
      </vt:variant>
      <vt:variant>
        <vt:lpwstr>Doc_of_Source_ER</vt:lpwstr>
      </vt:variant>
      <vt:variant>
        <vt:i4>5374037</vt:i4>
      </vt:variant>
      <vt:variant>
        <vt:i4>198</vt:i4>
      </vt:variant>
      <vt:variant>
        <vt:i4>0</vt:i4>
      </vt:variant>
      <vt:variant>
        <vt:i4>5</vt:i4>
      </vt:variant>
      <vt:variant>
        <vt:lpwstr>https://www.fws.gov/CBRA/</vt:lpwstr>
      </vt:variant>
      <vt:variant>
        <vt:lpwstr/>
      </vt:variant>
      <vt:variant>
        <vt:i4>4128880</vt:i4>
      </vt:variant>
      <vt:variant>
        <vt:i4>195</vt:i4>
      </vt:variant>
      <vt:variant>
        <vt:i4>0</vt:i4>
      </vt:variant>
      <vt:variant>
        <vt:i4>5</vt:i4>
      </vt:variant>
      <vt:variant>
        <vt:lpwstr>https://www.ecfr.gov/current/title-24/subtitle-A/part-58/subpart-A/section-58.6</vt:lpwstr>
      </vt:variant>
      <vt:variant>
        <vt:lpwstr/>
      </vt:variant>
      <vt:variant>
        <vt:i4>3997742</vt:i4>
      </vt:variant>
      <vt:variant>
        <vt:i4>192</vt:i4>
      </vt:variant>
      <vt:variant>
        <vt:i4>0</vt:i4>
      </vt:variant>
      <vt:variant>
        <vt:i4>5</vt:i4>
      </vt:variant>
      <vt:variant>
        <vt:lpwstr>https://www.federalregister.gov/documents/2021/01/25/2021-01753/advancing-racial-equity-and-support-for-underserved-communities-through-the-federal-government</vt:lpwstr>
      </vt:variant>
      <vt:variant>
        <vt:lpwstr/>
      </vt:variant>
      <vt:variant>
        <vt:i4>4784203</vt:i4>
      </vt:variant>
      <vt:variant>
        <vt:i4>189</vt:i4>
      </vt:variant>
      <vt:variant>
        <vt:i4>0</vt:i4>
      </vt:variant>
      <vt:variant>
        <vt:i4>5</vt:i4>
      </vt:variant>
      <vt:variant>
        <vt:lpwstr>https://www.federalregister.gov/documents/1994/02/16/94-3685/federal-actions-to-address-environmental-justice-in-minority-populations-and-low-income-populations</vt:lpwstr>
      </vt:variant>
      <vt:variant>
        <vt:lpwstr/>
      </vt:variant>
      <vt:variant>
        <vt:i4>917526</vt:i4>
      </vt:variant>
      <vt:variant>
        <vt:i4>186</vt:i4>
      </vt:variant>
      <vt:variant>
        <vt:i4>0</vt:i4>
      </vt:variant>
      <vt:variant>
        <vt:i4>5</vt:i4>
      </vt:variant>
      <vt:variant>
        <vt:lpwstr/>
      </vt:variant>
      <vt:variant>
        <vt:lpwstr>RADON</vt:lpwstr>
      </vt:variant>
      <vt:variant>
        <vt:i4>6750243</vt:i4>
      </vt:variant>
      <vt:variant>
        <vt:i4>183</vt:i4>
      </vt:variant>
      <vt:variant>
        <vt:i4>0</vt:i4>
      </vt:variant>
      <vt:variant>
        <vt:i4>5</vt:i4>
      </vt:variant>
      <vt:variant>
        <vt:lpwstr>https://www.hudexchange.info/programs/environmental-review/site-contamination/</vt:lpwstr>
      </vt:variant>
      <vt:variant>
        <vt:lpwstr/>
      </vt:variant>
      <vt:variant>
        <vt:i4>786450</vt:i4>
      </vt:variant>
      <vt:variant>
        <vt:i4>180</vt:i4>
      </vt:variant>
      <vt:variant>
        <vt:i4>0</vt:i4>
      </vt:variant>
      <vt:variant>
        <vt:i4>5</vt:i4>
      </vt:variant>
      <vt:variant>
        <vt:lpwstr>https://www.cdbgsc.com/wp-content/uploads/2022/05/Using-a-Phase-I-ESA-in-HUD-Environmental-Review.pdf</vt:lpwstr>
      </vt:variant>
      <vt:variant>
        <vt:lpwstr/>
      </vt:variant>
      <vt:variant>
        <vt:i4>4849733</vt:i4>
      </vt:variant>
      <vt:variant>
        <vt:i4>177</vt:i4>
      </vt:variant>
      <vt:variant>
        <vt:i4>0</vt:i4>
      </vt:variant>
      <vt:variant>
        <vt:i4>5</vt:i4>
      </vt:variant>
      <vt:variant>
        <vt:lpwstr>https://www.epa.gov/epcra/cercla-hazardous-substances-defined</vt:lpwstr>
      </vt:variant>
      <vt:variant>
        <vt:lpwstr/>
      </vt:variant>
      <vt:variant>
        <vt:i4>1441856</vt:i4>
      </vt:variant>
      <vt:variant>
        <vt:i4>174</vt:i4>
      </vt:variant>
      <vt:variant>
        <vt:i4>0</vt:i4>
      </vt:variant>
      <vt:variant>
        <vt:i4>5</vt:i4>
      </vt:variant>
      <vt:variant>
        <vt:lpwstr>https://www.epa.gov/superfund/superfund-national-priorities-list-npl</vt:lpwstr>
      </vt:variant>
      <vt:variant>
        <vt:lpwstr/>
      </vt:variant>
      <vt:variant>
        <vt:i4>2687028</vt:i4>
      </vt:variant>
      <vt:variant>
        <vt:i4>171</vt:i4>
      </vt:variant>
      <vt:variant>
        <vt:i4>0</vt:i4>
      </vt:variant>
      <vt:variant>
        <vt:i4>5</vt:i4>
      </vt:variant>
      <vt:variant>
        <vt:lpwstr>https://www.ecfr.gov/current/title-24/part-58/section-58.5</vt:lpwstr>
      </vt:variant>
      <vt:variant>
        <vt:lpwstr>p-58.5(i)(2)</vt:lpwstr>
      </vt:variant>
      <vt:variant>
        <vt:i4>2621479</vt:i4>
      </vt:variant>
      <vt:variant>
        <vt:i4>168</vt:i4>
      </vt:variant>
      <vt:variant>
        <vt:i4>0</vt:i4>
      </vt:variant>
      <vt:variant>
        <vt:i4>5</vt:i4>
      </vt:variant>
      <vt:variant>
        <vt:lpwstr>https://www.ecfr.gov/current/title-24/part-50/section-50.3</vt:lpwstr>
      </vt:variant>
      <vt:variant>
        <vt:lpwstr>p-50.3(i)</vt:lpwstr>
      </vt:variant>
      <vt:variant>
        <vt:i4>2621545</vt:i4>
      </vt:variant>
      <vt:variant>
        <vt:i4>165</vt:i4>
      </vt:variant>
      <vt:variant>
        <vt:i4>0</vt:i4>
      </vt:variant>
      <vt:variant>
        <vt:i4>5</vt:i4>
      </vt:variant>
      <vt:variant>
        <vt:lpwstr>https://www.hudexchange.info/programs/environmental-review/explosive-and-flammable-facilities/</vt:lpwstr>
      </vt:variant>
      <vt:variant>
        <vt:lpwstr/>
      </vt:variant>
      <vt:variant>
        <vt:i4>3670068</vt:i4>
      </vt:variant>
      <vt:variant>
        <vt:i4>162</vt:i4>
      </vt:variant>
      <vt:variant>
        <vt:i4>0</vt:i4>
      </vt:variant>
      <vt:variant>
        <vt:i4>5</vt:i4>
      </vt:variant>
      <vt:variant>
        <vt:lpwstr>https://www.ecfr.gov/current/title-24/subtitle-A/part-51/subpart-C</vt:lpwstr>
      </vt:variant>
      <vt:variant>
        <vt:lpwstr/>
      </vt:variant>
      <vt:variant>
        <vt:i4>7209067</vt:i4>
      </vt:variant>
      <vt:variant>
        <vt:i4>159</vt:i4>
      </vt:variant>
      <vt:variant>
        <vt:i4>0</vt:i4>
      </vt:variant>
      <vt:variant>
        <vt:i4>5</vt:i4>
      </vt:variant>
      <vt:variant>
        <vt:lpwstr>https://www.hudexchange.info/resource/313/hud-noise-guidebook/</vt:lpwstr>
      </vt:variant>
      <vt:variant>
        <vt:lpwstr/>
      </vt:variant>
      <vt:variant>
        <vt:i4>3735604</vt:i4>
      </vt:variant>
      <vt:variant>
        <vt:i4>156</vt:i4>
      </vt:variant>
      <vt:variant>
        <vt:i4>0</vt:i4>
      </vt:variant>
      <vt:variant>
        <vt:i4>5</vt:i4>
      </vt:variant>
      <vt:variant>
        <vt:lpwstr>https://www.ecfr.gov/current/title-24/subtitle-A/part-51/subpart-B</vt:lpwstr>
      </vt:variant>
      <vt:variant>
        <vt:lpwstr/>
      </vt:variant>
      <vt:variant>
        <vt:i4>4194382</vt:i4>
      </vt:variant>
      <vt:variant>
        <vt:i4>153</vt:i4>
      </vt:variant>
      <vt:variant>
        <vt:i4>0</vt:i4>
      </vt:variant>
      <vt:variant>
        <vt:i4>5</vt:i4>
      </vt:variant>
      <vt:variant>
        <vt:lpwstr>https://www.ecfr.gov/current/title-7/subtitle-B/chapter-VI/subchapter-F/part-658</vt:lpwstr>
      </vt:variant>
      <vt:variant>
        <vt:lpwstr/>
      </vt:variant>
      <vt:variant>
        <vt:i4>6684706</vt:i4>
      </vt:variant>
      <vt:variant>
        <vt:i4>150</vt:i4>
      </vt:variant>
      <vt:variant>
        <vt:i4>0</vt:i4>
      </vt:variant>
      <vt:variant>
        <vt:i4>5</vt:i4>
      </vt:variant>
      <vt:variant>
        <vt:lpwstr>https://www.epa.gov/clean-air-act-overview</vt:lpwstr>
      </vt:variant>
      <vt:variant>
        <vt:lpwstr/>
      </vt:variant>
      <vt:variant>
        <vt:i4>1769498</vt:i4>
      </vt:variant>
      <vt:variant>
        <vt:i4>147</vt:i4>
      </vt:variant>
      <vt:variant>
        <vt:i4>0</vt:i4>
      </vt:variant>
      <vt:variant>
        <vt:i4>5</vt:i4>
      </vt:variant>
      <vt:variant>
        <vt:lpwstr>https://www.nps.gov/rigr/learn/management/upload/wsr-act.pdf</vt:lpwstr>
      </vt:variant>
      <vt:variant>
        <vt:lpwstr/>
      </vt:variant>
      <vt:variant>
        <vt:i4>4456461</vt:i4>
      </vt:variant>
      <vt:variant>
        <vt:i4>144</vt:i4>
      </vt:variant>
      <vt:variant>
        <vt:i4>0</vt:i4>
      </vt:variant>
      <vt:variant>
        <vt:i4>5</vt:i4>
      </vt:variant>
      <vt:variant>
        <vt:lpwstr>https://schtportal.dnr.sc.gov/portal/apps/sites/</vt:lpwstr>
      </vt:variant>
      <vt:variant>
        <vt:lpwstr>/natural-heritage-program</vt:lpwstr>
      </vt:variant>
      <vt:variant>
        <vt:i4>1048585</vt:i4>
      </vt:variant>
      <vt:variant>
        <vt:i4>141</vt:i4>
      </vt:variant>
      <vt:variant>
        <vt:i4>0</vt:i4>
      </vt:variant>
      <vt:variant>
        <vt:i4>5</vt:i4>
      </vt:variant>
      <vt:variant>
        <vt:lpwstr>http://www.fws.gov/charleston/regulatory.html</vt:lpwstr>
      </vt:variant>
      <vt:variant>
        <vt:lpwstr/>
      </vt:variant>
      <vt:variant>
        <vt:i4>7864357</vt:i4>
      </vt:variant>
      <vt:variant>
        <vt:i4>138</vt:i4>
      </vt:variant>
      <vt:variant>
        <vt:i4>0</vt:i4>
      </vt:variant>
      <vt:variant>
        <vt:i4>5</vt:i4>
      </vt:variant>
      <vt:variant>
        <vt:lpwstr>https://www.fws.gov/law/endangered-species-act</vt:lpwstr>
      </vt:variant>
      <vt:variant>
        <vt:lpwstr/>
      </vt:variant>
      <vt:variant>
        <vt:i4>5439569</vt:i4>
      </vt:variant>
      <vt:variant>
        <vt:i4>135</vt:i4>
      </vt:variant>
      <vt:variant>
        <vt:i4>0</vt:i4>
      </vt:variant>
      <vt:variant>
        <vt:i4>5</vt:i4>
      </vt:variant>
      <vt:variant>
        <vt:lpwstr>https://www.epa.gov/sdwa</vt:lpwstr>
      </vt:variant>
      <vt:variant>
        <vt:lpwstr/>
      </vt:variant>
      <vt:variant>
        <vt:i4>4915320</vt:i4>
      </vt:variant>
      <vt:variant>
        <vt:i4>132</vt:i4>
      </vt:variant>
      <vt:variant>
        <vt:i4>0</vt:i4>
      </vt:variant>
      <vt:variant>
        <vt:i4>5</vt:i4>
      </vt:variant>
      <vt:variant>
        <vt:lpwstr>https://coast.noaa.gov/data/czm/media/CZMA_10_11_06.pdf</vt:lpwstr>
      </vt:variant>
      <vt:variant>
        <vt:lpwstr/>
      </vt:variant>
      <vt:variant>
        <vt:i4>3014762</vt:i4>
      </vt:variant>
      <vt:variant>
        <vt:i4>126</vt:i4>
      </vt:variant>
      <vt:variant>
        <vt:i4>0</vt:i4>
      </vt:variant>
      <vt:variant>
        <vt:i4>5</vt:i4>
      </vt:variant>
      <vt:variant>
        <vt:lpwstr>https://www.hudexchange.info/resource/3785/tribal-consultation-letter-template/</vt:lpwstr>
      </vt:variant>
      <vt:variant>
        <vt:lpwstr/>
      </vt:variant>
      <vt:variant>
        <vt:i4>2228329</vt:i4>
      </vt:variant>
      <vt:variant>
        <vt:i4>123</vt:i4>
      </vt:variant>
      <vt:variant>
        <vt:i4>0</vt:i4>
      </vt:variant>
      <vt:variant>
        <vt:i4>5</vt:i4>
      </vt:variant>
      <vt:variant>
        <vt:lpwstr>https://egis.hud.gov/tdat/</vt:lpwstr>
      </vt:variant>
      <vt:variant>
        <vt:lpwstr/>
      </vt:variant>
      <vt:variant>
        <vt:i4>2490379</vt:i4>
      </vt:variant>
      <vt:variant>
        <vt:i4>120</vt:i4>
      </vt:variant>
      <vt:variant>
        <vt:i4>0</vt:i4>
      </vt:variant>
      <vt:variant>
        <vt:i4>5</vt:i4>
      </vt:variant>
      <vt:variant>
        <vt:lpwstr>https://www.cdbgsc.com/wp-content/uploads/2020/08/SHPO_SCDOC-CDBG-Agreement_Final_executed.pdf</vt:lpwstr>
      </vt:variant>
      <vt:variant>
        <vt:lpwstr/>
      </vt:variant>
      <vt:variant>
        <vt:i4>2687068</vt:i4>
      </vt:variant>
      <vt:variant>
        <vt:i4>117</vt:i4>
      </vt:variant>
      <vt:variant>
        <vt:i4>0</vt:i4>
      </vt:variant>
      <vt:variant>
        <vt:i4>5</vt:i4>
      </vt:variant>
      <vt:variant>
        <vt:lpwstr>https://www.cdbgsc.com/forms/environmental/wp-content/uploads/2018/11/Section-106_Project_Review_Form-rev-11-18.pdf</vt:lpwstr>
      </vt:variant>
      <vt:variant>
        <vt:lpwstr/>
      </vt:variant>
      <vt:variant>
        <vt:i4>4784214</vt:i4>
      </vt:variant>
      <vt:variant>
        <vt:i4>114</vt:i4>
      </vt:variant>
      <vt:variant>
        <vt:i4>0</vt:i4>
      </vt:variant>
      <vt:variant>
        <vt:i4>5</vt:i4>
      </vt:variant>
      <vt:variant>
        <vt:lpwstr/>
      </vt:variant>
      <vt:variant>
        <vt:lpwstr>_Appendix_B</vt:lpwstr>
      </vt:variant>
      <vt:variant>
        <vt:i4>6029319</vt:i4>
      </vt:variant>
      <vt:variant>
        <vt:i4>111</vt:i4>
      </vt:variant>
      <vt:variant>
        <vt:i4>0</vt:i4>
      </vt:variant>
      <vt:variant>
        <vt:i4>5</vt:i4>
      </vt:variant>
      <vt:variant>
        <vt:lpwstr>https://www.epa.gov/cwa-404/protection-wetlands-executive-order-11990</vt:lpwstr>
      </vt:variant>
      <vt:variant>
        <vt:lpwstr/>
      </vt:variant>
      <vt:variant>
        <vt:i4>2228334</vt:i4>
      </vt:variant>
      <vt:variant>
        <vt:i4>108</vt:i4>
      </vt:variant>
      <vt:variant>
        <vt:i4>0</vt:i4>
      </vt:variant>
      <vt:variant>
        <vt:i4>5</vt:i4>
      </vt:variant>
      <vt:variant>
        <vt:lpwstr>https://www.epa.gov/cwa-404/floodplain-management-executive-order-11988</vt:lpwstr>
      </vt:variant>
      <vt:variant>
        <vt:lpwstr/>
      </vt:variant>
      <vt:variant>
        <vt:i4>1966122</vt:i4>
      </vt:variant>
      <vt:variant>
        <vt:i4>105</vt:i4>
      </vt:variant>
      <vt:variant>
        <vt:i4>0</vt:i4>
      </vt:variant>
      <vt:variant>
        <vt:i4>5</vt:i4>
      </vt:variant>
      <vt:variant>
        <vt:lpwstr/>
      </vt:variant>
      <vt:variant>
        <vt:lpwstr>Doc_of_Source_ER</vt:lpwstr>
      </vt:variant>
      <vt:variant>
        <vt:i4>327712</vt:i4>
      </vt:variant>
      <vt:variant>
        <vt:i4>102</vt:i4>
      </vt:variant>
      <vt:variant>
        <vt:i4>0</vt:i4>
      </vt:variant>
      <vt:variant>
        <vt:i4>5</vt:i4>
      </vt:variant>
      <vt:variant>
        <vt:lpwstr/>
      </vt:variant>
      <vt:variant>
        <vt:lpwstr>CEST_Form</vt:lpwstr>
      </vt:variant>
      <vt:variant>
        <vt:i4>4128880</vt:i4>
      </vt:variant>
      <vt:variant>
        <vt:i4>99</vt:i4>
      </vt:variant>
      <vt:variant>
        <vt:i4>0</vt:i4>
      </vt:variant>
      <vt:variant>
        <vt:i4>5</vt:i4>
      </vt:variant>
      <vt:variant>
        <vt:lpwstr>https://www.ecfr.gov/current/title-24/subtitle-A/part-58/subpart-A/section-58.5</vt:lpwstr>
      </vt:variant>
      <vt:variant>
        <vt:lpwstr/>
      </vt:variant>
      <vt:variant>
        <vt:i4>6815867</vt:i4>
      </vt:variant>
      <vt:variant>
        <vt:i4>96</vt:i4>
      </vt:variant>
      <vt:variant>
        <vt:i4>0</vt:i4>
      </vt:variant>
      <vt:variant>
        <vt:i4>5</vt:i4>
      </vt:variant>
      <vt:variant>
        <vt:lpwstr>https://www.ecfr.gov/current/title-24/section-58.35</vt:lpwstr>
      </vt:variant>
      <vt:variant>
        <vt:lpwstr/>
      </vt:variant>
      <vt:variant>
        <vt:i4>1245226</vt:i4>
      </vt:variant>
      <vt:variant>
        <vt:i4>93</vt:i4>
      </vt:variant>
      <vt:variant>
        <vt:i4>0</vt:i4>
      </vt:variant>
      <vt:variant>
        <vt:i4>5</vt:i4>
      </vt:variant>
      <vt:variant>
        <vt:lpwstr/>
      </vt:variant>
      <vt:variant>
        <vt:lpwstr>CEST_Def</vt:lpwstr>
      </vt:variant>
      <vt:variant>
        <vt:i4>4915309</vt:i4>
      </vt:variant>
      <vt:variant>
        <vt:i4>90</vt:i4>
      </vt:variant>
      <vt:variant>
        <vt:i4>0</vt:i4>
      </vt:variant>
      <vt:variant>
        <vt:i4>5</vt:i4>
      </vt:variant>
      <vt:variant>
        <vt:lpwstr/>
      </vt:variant>
      <vt:variant>
        <vt:lpwstr>CENST_Form</vt:lpwstr>
      </vt:variant>
      <vt:variant>
        <vt:i4>2359322</vt:i4>
      </vt:variant>
      <vt:variant>
        <vt:i4>87</vt:i4>
      </vt:variant>
      <vt:variant>
        <vt:i4>0</vt:i4>
      </vt:variant>
      <vt:variant>
        <vt:i4>5</vt:i4>
      </vt:variant>
      <vt:variant>
        <vt:lpwstr/>
      </vt:variant>
      <vt:variant>
        <vt:lpwstr>NOI_RROF</vt:lpwstr>
      </vt:variant>
      <vt:variant>
        <vt:i4>2883613</vt:i4>
      </vt:variant>
      <vt:variant>
        <vt:i4>84</vt:i4>
      </vt:variant>
      <vt:variant>
        <vt:i4>0</vt:i4>
      </vt:variant>
      <vt:variant>
        <vt:i4>5</vt:i4>
      </vt:variant>
      <vt:variant>
        <vt:lpwstr/>
      </vt:variant>
      <vt:variant>
        <vt:lpwstr>CENST_Def</vt:lpwstr>
      </vt:variant>
      <vt:variant>
        <vt:i4>4128880</vt:i4>
      </vt:variant>
      <vt:variant>
        <vt:i4>81</vt:i4>
      </vt:variant>
      <vt:variant>
        <vt:i4>0</vt:i4>
      </vt:variant>
      <vt:variant>
        <vt:i4>5</vt:i4>
      </vt:variant>
      <vt:variant>
        <vt:lpwstr>https://www.ecfr.gov/current/title-24/subtitle-A/part-58/subpart-A/section-58.6</vt:lpwstr>
      </vt:variant>
      <vt:variant>
        <vt:lpwstr/>
      </vt:variant>
      <vt:variant>
        <vt:i4>327712</vt:i4>
      </vt:variant>
      <vt:variant>
        <vt:i4>78</vt:i4>
      </vt:variant>
      <vt:variant>
        <vt:i4>0</vt:i4>
      </vt:variant>
      <vt:variant>
        <vt:i4>5</vt:i4>
      </vt:variant>
      <vt:variant>
        <vt:lpwstr/>
      </vt:variant>
      <vt:variant>
        <vt:lpwstr>CEST_Form</vt:lpwstr>
      </vt:variant>
      <vt:variant>
        <vt:i4>4915309</vt:i4>
      </vt:variant>
      <vt:variant>
        <vt:i4>75</vt:i4>
      </vt:variant>
      <vt:variant>
        <vt:i4>0</vt:i4>
      </vt:variant>
      <vt:variant>
        <vt:i4>5</vt:i4>
      </vt:variant>
      <vt:variant>
        <vt:lpwstr/>
      </vt:variant>
      <vt:variant>
        <vt:lpwstr>CENST_Form</vt:lpwstr>
      </vt:variant>
      <vt:variant>
        <vt:i4>7143489</vt:i4>
      </vt:variant>
      <vt:variant>
        <vt:i4>72</vt:i4>
      </vt:variant>
      <vt:variant>
        <vt:i4>0</vt:i4>
      </vt:variant>
      <vt:variant>
        <vt:i4>5</vt:i4>
      </vt:variant>
      <vt:variant>
        <vt:lpwstr/>
      </vt:variant>
      <vt:variant>
        <vt:lpwstr>Commit_of_funds_Def</vt:lpwstr>
      </vt:variant>
      <vt:variant>
        <vt:i4>2031644</vt:i4>
      </vt:variant>
      <vt:variant>
        <vt:i4>69</vt:i4>
      </vt:variant>
      <vt:variant>
        <vt:i4>0</vt:i4>
      </vt:variant>
      <vt:variant>
        <vt:i4>5</vt:i4>
      </vt:variant>
      <vt:variant>
        <vt:lpwstr/>
      </vt:variant>
      <vt:variant>
        <vt:lpwstr>Human_Env_Def</vt:lpwstr>
      </vt:variant>
      <vt:variant>
        <vt:i4>4522074</vt:i4>
      </vt:variant>
      <vt:variant>
        <vt:i4>66</vt:i4>
      </vt:variant>
      <vt:variant>
        <vt:i4>0</vt:i4>
      </vt:variant>
      <vt:variant>
        <vt:i4>5</vt:i4>
      </vt:variant>
      <vt:variant>
        <vt:lpwstr/>
      </vt:variant>
      <vt:variant>
        <vt:lpwstr>Choice_limiting_Def</vt:lpwstr>
      </vt:variant>
      <vt:variant>
        <vt:i4>4128880</vt:i4>
      </vt:variant>
      <vt:variant>
        <vt:i4>63</vt:i4>
      </vt:variant>
      <vt:variant>
        <vt:i4>0</vt:i4>
      </vt:variant>
      <vt:variant>
        <vt:i4>5</vt:i4>
      </vt:variant>
      <vt:variant>
        <vt:lpwstr>https://www.ecfr.gov/current/title-24/subtitle-A/part-58/subpart-A/section-58.6</vt:lpwstr>
      </vt:variant>
      <vt:variant>
        <vt:lpwstr/>
      </vt:variant>
      <vt:variant>
        <vt:i4>2883613</vt:i4>
      </vt:variant>
      <vt:variant>
        <vt:i4>60</vt:i4>
      </vt:variant>
      <vt:variant>
        <vt:i4>0</vt:i4>
      </vt:variant>
      <vt:variant>
        <vt:i4>5</vt:i4>
      </vt:variant>
      <vt:variant>
        <vt:lpwstr/>
      </vt:variant>
      <vt:variant>
        <vt:lpwstr>CENST_Def</vt:lpwstr>
      </vt:variant>
      <vt:variant>
        <vt:i4>7733366</vt:i4>
      </vt:variant>
      <vt:variant>
        <vt:i4>57</vt:i4>
      </vt:variant>
      <vt:variant>
        <vt:i4>0</vt:i4>
      </vt:variant>
      <vt:variant>
        <vt:i4>5</vt:i4>
      </vt:variant>
      <vt:variant>
        <vt:lpwstr/>
      </vt:variant>
      <vt:variant>
        <vt:lpwstr>Exempt_act_Def</vt:lpwstr>
      </vt:variant>
      <vt:variant>
        <vt:i4>4784214</vt:i4>
      </vt:variant>
      <vt:variant>
        <vt:i4>54</vt:i4>
      </vt:variant>
      <vt:variant>
        <vt:i4>0</vt:i4>
      </vt:variant>
      <vt:variant>
        <vt:i4>5</vt:i4>
      </vt:variant>
      <vt:variant>
        <vt:lpwstr/>
      </vt:variant>
      <vt:variant>
        <vt:lpwstr>_Appendix_B</vt:lpwstr>
      </vt:variant>
      <vt:variant>
        <vt:i4>327805</vt:i4>
      </vt:variant>
      <vt:variant>
        <vt:i4>51</vt:i4>
      </vt:variant>
      <vt:variant>
        <vt:i4>0</vt:i4>
      </vt:variant>
      <vt:variant>
        <vt:i4>5</vt:i4>
      </vt:variant>
      <vt:variant>
        <vt:lpwstr>mailto:sc-cdbg@sccommerce.com</vt:lpwstr>
      </vt:variant>
      <vt:variant>
        <vt:lpwstr/>
      </vt:variant>
      <vt:variant>
        <vt:i4>3342343</vt:i4>
      </vt:variant>
      <vt:variant>
        <vt:i4>48</vt:i4>
      </vt:variant>
      <vt:variant>
        <vt:i4>0</vt:i4>
      </vt:variant>
      <vt:variant>
        <vt:i4>5</vt:i4>
      </vt:variant>
      <vt:variant>
        <vt:lpwstr/>
      </vt:variant>
      <vt:variant>
        <vt:lpwstr>Env_Forms</vt:lpwstr>
      </vt:variant>
      <vt:variant>
        <vt:i4>2031644</vt:i4>
      </vt:variant>
      <vt:variant>
        <vt:i4>45</vt:i4>
      </vt:variant>
      <vt:variant>
        <vt:i4>0</vt:i4>
      </vt:variant>
      <vt:variant>
        <vt:i4>5</vt:i4>
      </vt:variant>
      <vt:variant>
        <vt:lpwstr/>
      </vt:variant>
      <vt:variant>
        <vt:lpwstr>Human_Env_Def</vt:lpwstr>
      </vt:variant>
      <vt:variant>
        <vt:i4>3014699</vt:i4>
      </vt:variant>
      <vt:variant>
        <vt:i4>42</vt:i4>
      </vt:variant>
      <vt:variant>
        <vt:i4>0</vt:i4>
      </vt:variant>
      <vt:variant>
        <vt:i4>5</vt:i4>
      </vt:variant>
      <vt:variant>
        <vt:lpwstr>https://www.hudexchange.info/environmental-review/</vt:lpwstr>
      </vt:variant>
      <vt:variant>
        <vt:lpwstr/>
      </vt:variant>
      <vt:variant>
        <vt:i4>2490373</vt:i4>
      </vt:variant>
      <vt:variant>
        <vt:i4>39</vt:i4>
      </vt:variant>
      <vt:variant>
        <vt:i4>0</vt:i4>
      </vt:variant>
      <vt:variant>
        <vt:i4>5</vt:i4>
      </vt:variant>
      <vt:variant>
        <vt:lpwstr/>
      </vt:variant>
      <vt:variant>
        <vt:lpwstr>FONSI_Def</vt:lpwstr>
      </vt:variant>
      <vt:variant>
        <vt:i4>6488159</vt:i4>
      </vt:variant>
      <vt:variant>
        <vt:i4>36</vt:i4>
      </vt:variant>
      <vt:variant>
        <vt:i4>0</vt:i4>
      </vt:variant>
      <vt:variant>
        <vt:i4>5</vt:i4>
      </vt:variant>
      <vt:variant>
        <vt:lpwstr/>
      </vt:variant>
      <vt:variant>
        <vt:lpwstr>EA_Def</vt:lpwstr>
      </vt:variant>
      <vt:variant>
        <vt:i4>5439602</vt:i4>
      </vt:variant>
      <vt:variant>
        <vt:i4>33</vt:i4>
      </vt:variant>
      <vt:variant>
        <vt:i4>0</vt:i4>
      </vt:variant>
      <vt:variant>
        <vt:i4>5</vt:i4>
      </vt:variant>
      <vt:variant>
        <vt:lpwstr/>
      </vt:variant>
      <vt:variant>
        <vt:lpwstr>EIS_Def</vt:lpwstr>
      </vt:variant>
      <vt:variant>
        <vt:i4>4259946</vt:i4>
      </vt:variant>
      <vt:variant>
        <vt:i4>30</vt:i4>
      </vt:variant>
      <vt:variant>
        <vt:i4>0</vt:i4>
      </vt:variant>
      <vt:variant>
        <vt:i4>5</vt:i4>
      </vt:variant>
      <vt:variant>
        <vt:lpwstr/>
      </vt:variant>
      <vt:variant>
        <vt:lpwstr>Project_Def</vt:lpwstr>
      </vt:variant>
      <vt:variant>
        <vt:i4>4128880</vt:i4>
      </vt:variant>
      <vt:variant>
        <vt:i4>27</vt:i4>
      </vt:variant>
      <vt:variant>
        <vt:i4>0</vt:i4>
      </vt:variant>
      <vt:variant>
        <vt:i4>5</vt:i4>
      </vt:variant>
      <vt:variant>
        <vt:lpwstr>https://www.ecfr.gov/current/title-24/subtitle-A/part-58/subpart-A/section-58.6</vt:lpwstr>
      </vt:variant>
      <vt:variant>
        <vt:lpwstr/>
      </vt:variant>
      <vt:variant>
        <vt:i4>4128880</vt:i4>
      </vt:variant>
      <vt:variant>
        <vt:i4>24</vt:i4>
      </vt:variant>
      <vt:variant>
        <vt:i4>0</vt:i4>
      </vt:variant>
      <vt:variant>
        <vt:i4>5</vt:i4>
      </vt:variant>
      <vt:variant>
        <vt:lpwstr>https://www.ecfr.gov/current/title-24/subtitle-A/part-58/subpart-A/section-58.5</vt:lpwstr>
      </vt:variant>
      <vt:variant>
        <vt:lpwstr/>
      </vt:variant>
      <vt:variant>
        <vt:i4>4128880</vt:i4>
      </vt:variant>
      <vt:variant>
        <vt:i4>21</vt:i4>
      </vt:variant>
      <vt:variant>
        <vt:i4>0</vt:i4>
      </vt:variant>
      <vt:variant>
        <vt:i4>5</vt:i4>
      </vt:variant>
      <vt:variant>
        <vt:lpwstr>https://www.ecfr.gov/current/title-24/subtitle-A/part-58/subpart-A/section-58.6</vt:lpwstr>
      </vt:variant>
      <vt:variant>
        <vt:lpwstr/>
      </vt:variant>
      <vt:variant>
        <vt:i4>540213281</vt:i4>
      </vt:variant>
      <vt:variant>
        <vt:i4>18</vt:i4>
      </vt:variant>
      <vt:variant>
        <vt:i4>0</vt:i4>
      </vt:variant>
      <vt:variant>
        <vt:i4>5</vt:i4>
      </vt:variant>
      <vt:variant>
        <vt:lpwstr/>
      </vt:variant>
      <vt:variant>
        <vt:lpwstr>_Section_7_–</vt:lpwstr>
      </vt:variant>
      <vt:variant>
        <vt:i4>540147745</vt:i4>
      </vt:variant>
      <vt:variant>
        <vt:i4>15</vt:i4>
      </vt:variant>
      <vt:variant>
        <vt:i4>0</vt:i4>
      </vt:variant>
      <vt:variant>
        <vt:i4>5</vt:i4>
      </vt:variant>
      <vt:variant>
        <vt:lpwstr/>
      </vt:variant>
      <vt:variant>
        <vt:lpwstr>_Section_6_–</vt:lpwstr>
      </vt:variant>
      <vt:variant>
        <vt:i4>540082209</vt:i4>
      </vt:variant>
      <vt:variant>
        <vt:i4>12</vt:i4>
      </vt:variant>
      <vt:variant>
        <vt:i4>0</vt:i4>
      </vt:variant>
      <vt:variant>
        <vt:i4>5</vt:i4>
      </vt:variant>
      <vt:variant>
        <vt:lpwstr/>
      </vt:variant>
      <vt:variant>
        <vt:lpwstr>_Section_5_–</vt:lpwstr>
      </vt:variant>
      <vt:variant>
        <vt:i4>540016673</vt:i4>
      </vt:variant>
      <vt:variant>
        <vt:i4>9</vt:i4>
      </vt:variant>
      <vt:variant>
        <vt:i4>0</vt:i4>
      </vt:variant>
      <vt:variant>
        <vt:i4>5</vt:i4>
      </vt:variant>
      <vt:variant>
        <vt:lpwstr/>
      </vt:variant>
      <vt:variant>
        <vt:lpwstr>_Section_4_–</vt:lpwstr>
      </vt:variant>
      <vt:variant>
        <vt:i4>2031678</vt:i4>
      </vt:variant>
      <vt:variant>
        <vt:i4>6</vt:i4>
      </vt:variant>
      <vt:variant>
        <vt:i4>0</vt:i4>
      </vt:variant>
      <vt:variant>
        <vt:i4>5</vt:i4>
      </vt:variant>
      <vt:variant>
        <vt:lpwstr/>
      </vt:variant>
      <vt:variant>
        <vt:lpwstr>_Section_3:_Actions</vt:lpwstr>
      </vt:variant>
      <vt:variant>
        <vt:i4>7995471</vt:i4>
      </vt:variant>
      <vt:variant>
        <vt:i4>3</vt:i4>
      </vt:variant>
      <vt:variant>
        <vt:i4>0</vt:i4>
      </vt:variant>
      <vt:variant>
        <vt:i4>5</vt:i4>
      </vt:variant>
      <vt:variant>
        <vt:lpwstr/>
      </vt:variant>
      <vt:variant>
        <vt:lpwstr>_Section_21_-</vt:lpwstr>
      </vt:variant>
      <vt:variant>
        <vt:i4>6881366</vt:i4>
      </vt:variant>
      <vt:variant>
        <vt:i4>0</vt:i4>
      </vt:variant>
      <vt:variant>
        <vt:i4>0</vt:i4>
      </vt:variant>
      <vt:variant>
        <vt:i4>5</vt:i4>
      </vt:variant>
      <vt:variant>
        <vt:lpwstr/>
      </vt:variant>
      <vt:variant>
        <vt:lpwstr>_Section_1_-Definitions</vt:lpwstr>
      </vt:variant>
      <vt:variant>
        <vt:i4>5111890</vt:i4>
      </vt:variant>
      <vt:variant>
        <vt:i4>0</vt:i4>
      </vt:variant>
      <vt:variant>
        <vt:i4>0</vt:i4>
      </vt:variant>
      <vt:variant>
        <vt:i4>5</vt:i4>
      </vt:variant>
      <vt:variant>
        <vt:lpwstr>https://www.hud.gov/sites/dfiles/CPD/documents/CPF-Environmental-Review-Guidance.pdf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PROGRAM START-UP REQUIREMENTS</dc:title>
  <dc:subject/>
  <dc:creator>End User</dc:creator>
  <cp:keywords/>
  <dc:description/>
  <cp:lastModifiedBy>Huff, Lisa</cp:lastModifiedBy>
  <cp:revision>2</cp:revision>
  <cp:lastPrinted>2024-09-05T15:22:00Z</cp:lastPrinted>
  <dcterms:created xsi:type="dcterms:W3CDTF">2024-11-04T17:46:00Z</dcterms:created>
  <dcterms:modified xsi:type="dcterms:W3CDTF">2024-11-04T17:46:00Z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0x010100392E70961861E64DAB0DC6165F6DAEE1</vt:lpwstr>
  </property>
  <property fmtid="{D5CDD505-2E9C-101B-9397-08002B2CF9AE}" pid="5" name="MediaServiceImageTags">
    <vt:lpwstr/>
  </property>
</Properties>
</file>